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r>
        <w:rPr>
          <w:rFonts w:hint="eastAsia" w:ascii="微软雅黑" w:hAnsi="微软雅黑" w:eastAsia="微软雅黑"/>
          <w:b/>
          <w:sz w:val="52"/>
          <w:szCs w:val="52"/>
          <w:lang w:eastAsia="zh-CN"/>
        </w:rPr>
        <w:t>运动训练</w:t>
      </w:r>
      <w:r>
        <w:rPr>
          <w:rFonts w:hint="eastAsia" w:ascii="微软雅黑" w:hAnsi="微软雅黑" w:eastAsia="微软雅黑"/>
          <w:b/>
          <w:sz w:val="52"/>
          <w:szCs w:val="52"/>
        </w:rPr>
        <w:t>专业人才培养方案</w:t>
      </w: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rPr>
          <w:rFonts w:ascii="微软雅黑" w:hAnsi="微软雅黑" w:eastAsia="微软雅黑"/>
          <w:bCs/>
          <w:sz w:val="44"/>
          <w:szCs w:val="44"/>
        </w:rPr>
      </w:pPr>
    </w:p>
    <w:p>
      <w:pPr>
        <w:ind w:firstLine="1760" w:firstLineChars="400"/>
        <w:rPr>
          <w:rFonts w:ascii="微软雅黑" w:hAnsi="微软雅黑" w:eastAsia="微软雅黑"/>
          <w:bCs/>
          <w:sz w:val="44"/>
          <w:szCs w:val="44"/>
        </w:rPr>
      </w:pPr>
      <w:r>
        <w:rPr>
          <w:rFonts w:hint="eastAsia" w:ascii="微软雅黑" w:hAnsi="微软雅黑" w:eastAsia="微软雅黑"/>
          <w:bCs/>
          <w:sz w:val="44"/>
          <w:szCs w:val="44"/>
        </w:rPr>
        <w:t>临汾并丽艺通职业技术学校</w:t>
      </w:r>
    </w:p>
    <w:p>
      <w:pPr>
        <w:jc w:val="center"/>
        <w:rPr>
          <w:rFonts w:ascii="微软雅黑" w:hAnsi="微软雅黑" w:eastAsia="微软雅黑"/>
          <w:bCs/>
          <w:sz w:val="32"/>
          <w:szCs w:val="32"/>
        </w:rPr>
      </w:pPr>
      <w:r>
        <w:rPr>
          <w:rFonts w:hint="eastAsia" w:ascii="微软雅黑" w:hAnsi="微软雅黑" w:eastAsia="微软雅黑"/>
          <w:bCs/>
          <w:sz w:val="32"/>
          <w:szCs w:val="32"/>
        </w:rPr>
        <w:t xml:space="preserve"> 20</w:t>
      </w:r>
      <w:r>
        <w:rPr>
          <w:rFonts w:hint="eastAsia" w:ascii="微软雅黑" w:hAnsi="微软雅黑" w:eastAsia="微软雅黑"/>
          <w:bCs/>
          <w:sz w:val="32"/>
          <w:szCs w:val="32"/>
          <w:lang w:val="en-US" w:eastAsia="zh-CN"/>
        </w:rPr>
        <w:t>20</w:t>
      </w:r>
      <w:r>
        <w:rPr>
          <w:rFonts w:hint="eastAsia" w:ascii="微软雅黑" w:hAnsi="微软雅黑" w:eastAsia="微软雅黑"/>
          <w:bCs/>
          <w:sz w:val="32"/>
          <w:szCs w:val="32"/>
        </w:rPr>
        <w:t>年</w:t>
      </w:r>
      <w:r>
        <w:rPr>
          <w:rFonts w:hint="eastAsia" w:ascii="微软雅黑" w:hAnsi="微软雅黑" w:eastAsia="微软雅黑"/>
          <w:bCs/>
          <w:sz w:val="32"/>
          <w:szCs w:val="32"/>
          <w:lang w:val="en-US" w:eastAsia="zh-CN"/>
        </w:rPr>
        <w:t>10</w:t>
      </w:r>
      <w:r>
        <w:rPr>
          <w:rFonts w:hint="eastAsia" w:ascii="微软雅黑" w:hAnsi="微软雅黑" w:eastAsia="微软雅黑"/>
          <w:bCs/>
          <w:sz w:val="32"/>
          <w:szCs w:val="32"/>
        </w:rPr>
        <w:t>月</w:t>
      </w:r>
    </w:p>
    <w:p>
      <w:pPr>
        <w:jc w:val="center"/>
        <w:rPr>
          <w:rFonts w:hint="eastAsia" w:ascii="微软雅黑" w:hAnsi="微软雅黑" w:eastAsia="微软雅黑"/>
          <w:b/>
          <w:sz w:val="48"/>
          <w:szCs w:val="48"/>
        </w:rPr>
      </w:pPr>
    </w:p>
    <w:p>
      <w:pPr>
        <w:jc w:val="center"/>
        <w:rPr>
          <w:rFonts w:hint="eastAsia" w:ascii="微软雅黑" w:hAnsi="微软雅黑" w:eastAsia="微软雅黑"/>
          <w:b/>
          <w:sz w:val="48"/>
          <w:szCs w:val="48"/>
        </w:rPr>
      </w:pPr>
    </w:p>
    <w:p>
      <w:pPr>
        <w:jc w:val="center"/>
        <w:rPr>
          <w:rFonts w:hint="eastAsia" w:ascii="微软雅黑" w:hAnsi="微软雅黑" w:eastAsia="微软雅黑"/>
          <w:b/>
          <w:sz w:val="48"/>
          <w:szCs w:val="48"/>
        </w:rPr>
      </w:pPr>
    </w:p>
    <w:p>
      <w:pPr>
        <w:jc w:val="center"/>
        <w:rPr>
          <w:rFonts w:ascii="微软雅黑" w:hAnsi="微软雅黑" w:eastAsia="微软雅黑"/>
          <w:b/>
          <w:sz w:val="48"/>
          <w:szCs w:val="48"/>
        </w:rPr>
      </w:pPr>
      <w:r>
        <w:rPr>
          <w:rFonts w:hint="eastAsia" w:ascii="微软雅黑" w:hAnsi="微软雅黑" w:eastAsia="微软雅黑"/>
          <w:b/>
          <w:sz w:val="48"/>
          <w:szCs w:val="48"/>
        </w:rPr>
        <w:t>目  录</w:t>
      </w:r>
    </w:p>
    <w:p>
      <w:pPr>
        <w:rPr>
          <w:rFonts w:ascii="微软雅黑" w:hAnsi="微软雅黑" w:eastAsia="微软雅黑"/>
          <w:b/>
          <w:sz w:val="26"/>
          <w:szCs w:val="26"/>
        </w:rPr>
      </w:pP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一、专业名称与代码…………………………………………    1</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二、培养目标…………………………………………………    1</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三、培养要求…………………………………………………    1</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四、招生对象与学制………………………………………………2</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五、知识结构、能力结构及要求…………………………………2</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六、课程设置及教学要求…………………………………………2</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七、时间分配……………………………………………………  5</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八、课程教学时间安排……………………………………………8</w:t>
      </w:r>
    </w:p>
    <w:p>
      <w:pPr>
        <w:pStyle w:val="7"/>
        <w:pageBreakBefore w:val="0"/>
        <w:widowControl w:val="0"/>
        <w:kinsoku/>
        <w:wordWrap/>
        <w:overflowPunct/>
        <w:topLinePunct w:val="0"/>
        <w:autoSpaceDE/>
        <w:autoSpaceDN/>
        <w:bidi w:val="0"/>
        <w:adjustRightInd/>
        <w:snapToGrid/>
        <w:spacing w:line="720" w:lineRule="auto"/>
        <w:textAlignment w:val="auto"/>
        <w:rPr>
          <w:rFonts w:hint="eastAsia" w:ascii="华文楷体" w:hAnsi="华文楷体" w:eastAsia="华文楷体" w:cs="华文楷体"/>
          <w:sz w:val="32"/>
          <w:szCs w:val="22"/>
          <w:lang w:eastAsia="zh-CN"/>
        </w:rPr>
      </w:pPr>
    </w:p>
    <w:p>
      <w:pPr>
        <w:pStyle w:val="20"/>
        <w:keepNext w:val="0"/>
        <w:keepLines w:val="0"/>
        <w:pageBreakBefore w:val="0"/>
        <w:widowControl w:val="0"/>
        <w:numPr>
          <w:numId w:val="0"/>
        </w:numPr>
        <w:kinsoku/>
        <w:wordWrap/>
        <w:overflowPunct/>
        <w:topLinePunct w:val="0"/>
        <w:autoSpaceDE/>
        <w:autoSpaceDN/>
        <w:bidi w:val="0"/>
        <w:adjustRightInd w:val="0"/>
        <w:snapToGrid w:val="0"/>
        <w:spacing w:line="360" w:lineRule="auto"/>
        <w:jc w:val="both"/>
        <w:textAlignment w:val="auto"/>
        <w:rPr>
          <w:rFonts w:hint="eastAsia"/>
          <w:sz w:val="32"/>
          <w:szCs w:val="21"/>
          <w:lang w:eastAsia="zh-CN"/>
        </w:rPr>
      </w:pPr>
    </w:p>
    <w:p>
      <w:pPr>
        <w:jc w:val="center"/>
        <w:rPr>
          <w:rFonts w:hint="eastAsia" w:ascii="微软雅黑" w:hAnsi="微软雅黑" w:eastAsia="微软雅黑" w:cstheme="minorBidi"/>
          <w:b/>
          <w:sz w:val="40"/>
          <w:szCs w:val="32"/>
          <w:lang w:eastAsia="zh-CN"/>
        </w:rPr>
      </w:pPr>
      <w:r>
        <w:rPr>
          <w:rFonts w:hint="eastAsia" w:ascii="微软雅黑" w:hAnsi="微软雅黑" w:eastAsia="微软雅黑" w:cstheme="minorBidi"/>
          <w:b/>
          <w:sz w:val="40"/>
          <w:szCs w:val="32"/>
          <w:lang w:eastAsia="zh-CN"/>
        </w:rPr>
        <w:t>运动训练专业人才培养方案</w:t>
      </w:r>
    </w:p>
    <w:p>
      <w:pPr>
        <w:pStyle w:val="20"/>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lang w:eastAsia="zh-CN"/>
        </w:rPr>
      </w:pPr>
      <w:r>
        <w:rPr>
          <w:rFonts w:hint="eastAsia"/>
          <w:sz w:val="32"/>
          <w:szCs w:val="21"/>
          <w:lang w:eastAsia="zh-CN"/>
        </w:rPr>
        <w:t>一、专业名称及代码</w:t>
      </w:r>
    </w:p>
    <w:p>
      <w:pPr>
        <w:pStyle w:val="20"/>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eastAsia="宋体" w:cs="Times New Roman"/>
          <w:kern w:val="2"/>
          <w:sz w:val="28"/>
          <w:szCs w:val="24"/>
          <w:lang w:val="en-US" w:eastAsia="zh-CN" w:bidi="ar-SA"/>
        </w:rPr>
      </w:pPr>
      <w:r>
        <w:rPr>
          <w:rFonts w:hint="eastAsia" w:ascii="Times New Roman" w:hAnsi="Times New Roman" w:eastAsia="宋体" w:cs="Times New Roman"/>
          <w:kern w:val="2"/>
          <w:sz w:val="28"/>
          <w:szCs w:val="24"/>
          <w:lang w:val="en-US" w:eastAsia="zh-CN" w:bidi="ar-SA"/>
        </w:rPr>
        <w:t>运动训练（770303）</w:t>
      </w:r>
      <w:bookmarkStart w:id="5" w:name="_GoBack"/>
      <w:bookmarkEnd w:id="5"/>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rPr>
      </w:pPr>
      <w:r>
        <w:rPr>
          <w:rFonts w:hint="eastAsia"/>
          <w:sz w:val="32"/>
          <w:szCs w:val="21"/>
          <w:lang w:eastAsia="zh-CN"/>
        </w:rPr>
        <w:t>二</w:t>
      </w:r>
      <w:r>
        <w:rPr>
          <w:rFonts w:hint="eastAsia"/>
          <w:sz w:val="32"/>
          <w:szCs w:val="21"/>
        </w:rPr>
        <w:t>、培养目标</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eastAsia="宋体"/>
          <w:sz w:val="28"/>
          <w:szCs w:val="24"/>
          <w:lang w:eastAsia="zh-CN"/>
        </w:rPr>
      </w:pPr>
      <w:r>
        <w:rPr>
          <w:rFonts w:hint="default"/>
          <w:sz w:val="28"/>
          <w:szCs w:val="24"/>
        </w:rPr>
        <w:t>本专业培养具有良好思想道德品质、现代教育理念和运动训练素养，知识和较强的专项技能，</w:t>
      </w:r>
      <w:r>
        <w:rPr>
          <w:rFonts w:hint="eastAsia"/>
          <w:sz w:val="28"/>
          <w:szCs w:val="24"/>
        </w:rPr>
        <w:t>具有全面素质、具备高中文化水平</w:t>
      </w:r>
      <w:r>
        <w:rPr>
          <w:rFonts w:hint="eastAsia"/>
          <w:sz w:val="28"/>
          <w:szCs w:val="24"/>
          <w:lang w:eastAsia="zh-CN"/>
        </w:rPr>
        <w:t>和</w:t>
      </w:r>
      <w:r>
        <w:rPr>
          <w:rFonts w:hint="default"/>
          <w:sz w:val="28"/>
          <w:szCs w:val="24"/>
        </w:rPr>
        <w:t>竞技体育基本理论</w:t>
      </w:r>
      <w:r>
        <w:rPr>
          <w:rFonts w:hint="eastAsia"/>
          <w:sz w:val="28"/>
          <w:szCs w:val="24"/>
        </w:rPr>
        <w:t>的</w:t>
      </w:r>
      <w:r>
        <w:rPr>
          <w:rFonts w:hint="eastAsia"/>
          <w:sz w:val="28"/>
          <w:szCs w:val="24"/>
          <w:lang w:eastAsia="zh-CN"/>
        </w:rPr>
        <w:t>优秀</w:t>
      </w:r>
      <w:r>
        <w:rPr>
          <w:rFonts w:hint="eastAsia"/>
          <w:sz w:val="28"/>
          <w:szCs w:val="24"/>
        </w:rPr>
        <w:t>运动员，</w:t>
      </w:r>
      <w:r>
        <w:rPr>
          <w:rFonts w:hint="eastAsia"/>
          <w:sz w:val="28"/>
          <w:szCs w:val="24"/>
          <w:lang w:eastAsia="zh-CN"/>
        </w:rPr>
        <w:t>并</w:t>
      </w:r>
      <w:r>
        <w:rPr>
          <w:rFonts w:hint="default"/>
          <w:sz w:val="28"/>
          <w:szCs w:val="24"/>
        </w:rPr>
        <w:t>能在体校和学校代表队、体育俱乐部等部门从事训练、教学、竞赛、管理等方面工作的应用型专门人才</w:t>
      </w:r>
      <w:r>
        <w:rPr>
          <w:rFonts w:hint="eastAsia"/>
          <w:sz w:val="28"/>
          <w:szCs w:val="24"/>
          <w:lang w:eastAsia="zh-CN"/>
        </w:rPr>
        <w:t>，为高等院校输送优秀体育专业人才。</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rPr>
      </w:pPr>
      <w:r>
        <w:rPr>
          <w:rFonts w:hint="eastAsia"/>
          <w:sz w:val="32"/>
          <w:szCs w:val="21"/>
          <w:lang w:eastAsia="zh-CN"/>
        </w:rPr>
        <w:t>三</w:t>
      </w:r>
      <w:r>
        <w:rPr>
          <w:rFonts w:hint="default"/>
          <w:sz w:val="32"/>
          <w:szCs w:val="21"/>
        </w:rPr>
        <w:t>、培养要求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本专业学生主要学习竞技体育方面的基本理论和基本知识，接受运动训练、竞赛和教学方面的基本训练，具备从事运动训练与教学、竞赛组织与裁判等方面的基本能力。通过学习，毕业生应达到以下要求：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1．热爱祖国。具有改革创新意识和国际竞争意识，具有奉献精神和团队精神；具备正确的人生观与价值观，养成良好的道德情操和个人行为规范，诚信守法、公平竞争的意识；</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2．掌握专项运动训练、教学、竞赛、管理的基本理论与方法；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3．熟练掌握1-2项运动项目的技术及训练、教学方法；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4．具有从事专项运动训练与教学、赛事组织与裁判、体育管理的基本能力和实际工作能力；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5. 了解我国有关竞技体育的方针、政策和法规；</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6. 了解运动训练、竞赛和运动训练管理的理论前沿；</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default"/>
          <w:sz w:val="28"/>
          <w:szCs w:val="24"/>
        </w:rPr>
        <w:t>7. 具有初步的竞技体育领域的科学研究能力。</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rPr>
      </w:pPr>
      <w:bookmarkStart w:id="0" w:name="_Toc440282"/>
      <w:r>
        <w:rPr>
          <w:rFonts w:hint="eastAsia"/>
          <w:sz w:val="32"/>
          <w:szCs w:val="21"/>
          <w:lang w:eastAsia="zh-CN"/>
        </w:rPr>
        <w:t>四、</w:t>
      </w:r>
      <w:r>
        <w:rPr>
          <w:rFonts w:hint="eastAsia"/>
          <w:sz w:val="32"/>
          <w:szCs w:val="21"/>
        </w:rPr>
        <w:t>招生对象与学制</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845" w:firstLineChars="302"/>
        <w:textAlignment w:val="auto"/>
        <w:rPr>
          <w:rFonts w:hint="eastAsia"/>
          <w:sz w:val="28"/>
          <w:szCs w:val="24"/>
        </w:rPr>
      </w:pPr>
      <w:r>
        <w:rPr>
          <w:rFonts w:hint="eastAsia"/>
          <w:sz w:val="28"/>
          <w:szCs w:val="24"/>
        </w:rPr>
        <w:t>本专业招收初中毕业生或具有同等学力者，学制3年。</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rPr>
      </w:pPr>
      <w:bookmarkStart w:id="1" w:name="_Toc440284"/>
      <w:r>
        <w:rPr>
          <w:rFonts w:hint="eastAsia"/>
          <w:sz w:val="32"/>
          <w:szCs w:val="21"/>
          <w:lang w:eastAsia="zh-CN"/>
        </w:rPr>
        <w:t>五、</w:t>
      </w:r>
      <w:r>
        <w:rPr>
          <w:rFonts w:hint="eastAsia"/>
          <w:sz w:val="32"/>
          <w:szCs w:val="21"/>
        </w:rPr>
        <w:t>知识结构、能力结构及要求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ascii="Arial" w:hAnsi="Arial" w:eastAsia="黑体"/>
          <w:sz w:val="28"/>
          <w:szCs w:val="24"/>
        </w:rPr>
        <w:t>(</w:t>
      </w:r>
      <w:r>
        <w:rPr>
          <w:rFonts w:hint="eastAsia" w:ascii="Arial" w:hAnsi="Arial" w:eastAsia="黑体"/>
          <w:sz w:val="28"/>
          <w:szCs w:val="24"/>
        </w:rPr>
        <w:t>一</w:t>
      </w:r>
      <w:r>
        <w:rPr>
          <w:rFonts w:ascii="Arial" w:hAnsi="Arial" w:eastAsia="黑体"/>
          <w:sz w:val="28"/>
          <w:szCs w:val="24"/>
        </w:rPr>
        <w:t>)</w:t>
      </w:r>
      <w:r>
        <w:rPr>
          <w:rFonts w:hint="eastAsia" w:ascii="Arial" w:hAnsi="Arial" w:eastAsia="黑体"/>
          <w:sz w:val="28"/>
          <w:szCs w:val="24"/>
        </w:rPr>
        <w:t xml:space="preserve"> </w:t>
      </w:r>
      <w:r>
        <w:rPr>
          <w:rFonts w:hint="eastAsia"/>
          <w:sz w:val="28"/>
          <w:szCs w:val="24"/>
        </w:rPr>
        <w:t>具有良好的思想政治素质，拥护共产党的领导，热爱祖国、热爱人民、遵纪守法；有吃苦耐劳、团结协作和拼搏向上的精神。</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ascii="Arial" w:hAnsi="Arial" w:eastAsia="黑体"/>
          <w:sz w:val="28"/>
          <w:szCs w:val="24"/>
        </w:rPr>
        <w:t>(</w:t>
      </w:r>
      <w:r>
        <w:rPr>
          <w:rFonts w:hint="eastAsia" w:ascii="Arial" w:hAnsi="Arial" w:eastAsia="黑体"/>
          <w:sz w:val="28"/>
          <w:szCs w:val="24"/>
        </w:rPr>
        <w:t>二</w:t>
      </w:r>
      <w:r>
        <w:rPr>
          <w:rFonts w:ascii="Arial" w:hAnsi="Arial" w:eastAsia="黑体"/>
          <w:sz w:val="28"/>
          <w:szCs w:val="24"/>
        </w:rPr>
        <w:t>)</w:t>
      </w:r>
      <w:r>
        <w:rPr>
          <w:rFonts w:hint="eastAsia"/>
          <w:sz w:val="28"/>
          <w:szCs w:val="24"/>
        </w:rPr>
        <w:t xml:space="preserve"> 具有一定的文化素质和修养，基本掌握中等学校学生应具备的文化、基础理论和专业知识。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ascii="Arial" w:hAnsi="Arial" w:eastAsia="黑体"/>
          <w:sz w:val="28"/>
          <w:szCs w:val="24"/>
        </w:rPr>
        <w:t>(</w:t>
      </w:r>
      <w:r>
        <w:rPr>
          <w:rFonts w:hint="eastAsia" w:ascii="Arial" w:hAnsi="Arial" w:eastAsia="黑体"/>
          <w:sz w:val="28"/>
          <w:szCs w:val="24"/>
        </w:rPr>
        <w:t>三</w:t>
      </w:r>
      <w:r>
        <w:rPr>
          <w:rFonts w:ascii="Arial" w:hAnsi="Arial" w:eastAsia="黑体"/>
          <w:sz w:val="28"/>
          <w:szCs w:val="24"/>
        </w:rPr>
        <w:t>)</w:t>
      </w:r>
      <w:r>
        <w:rPr>
          <w:rFonts w:hint="eastAsia"/>
          <w:sz w:val="28"/>
          <w:szCs w:val="24"/>
        </w:rPr>
        <w:t xml:space="preserve"> 具有较高水平的专项运动技能和从事竞技体育运动的能力。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ascii="Arial" w:hAnsi="Arial" w:eastAsia="黑体"/>
          <w:sz w:val="28"/>
          <w:szCs w:val="24"/>
        </w:rPr>
        <w:t>(</w:t>
      </w:r>
      <w:r>
        <w:rPr>
          <w:rFonts w:hint="eastAsia" w:ascii="Arial" w:hAnsi="Arial" w:eastAsia="黑体"/>
          <w:sz w:val="28"/>
          <w:szCs w:val="24"/>
        </w:rPr>
        <w:t>四</w:t>
      </w:r>
      <w:r>
        <w:rPr>
          <w:rFonts w:ascii="Arial" w:hAnsi="Arial" w:eastAsia="黑体"/>
          <w:sz w:val="28"/>
          <w:szCs w:val="24"/>
        </w:rPr>
        <w:t>)</w:t>
      </w:r>
      <w:r>
        <w:rPr>
          <w:rFonts w:hint="eastAsia"/>
          <w:sz w:val="28"/>
          <w:szCs w:val="24"/>
        </w:rPr>
        <w:t xml:space="preserve"> 具有一定的组织体育活动和指导专项运动技术训练的能力。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ascii="Arial" w:hAnsi="Arial" w:eastAsia="黑体"/>
          <w:sz w:val="28"/>
          <w:szCs w:val="24"/>
        </w:rPr>
        <w:t>(</w:t>
      </w:r>
      <w:r>
        <w:rPr>
          <w:rFonts w:hint="eastAsia" w:ascii="Arial" w:hAnsi="Arial" w:eastAsia="黑体"/>
          <w:sz w:val="28"/>
          <w:szCs w:val="24"/>
        </w:rPr>
        <w:t>五</w:t>
      </w:r>
      <w:r>
        <w:rPr>
          <w:rFonts w:ascii="Arial" w:hAnsi="Arial" w:eastAsia="黑体"/>
          <w:sz w:val="28"/>
          <w:szCs w:val="24"/>
        </w:rPr>
        <w:t>)</w:t>
      </w:r>
      <w:r>
        <w:rPr>
          <w:rFonts w:hint="eastAsia"/>
          <w:sz w:val="28"/>
          <w:szCs w:val="24"/>
        </w:rPr>
        <w:t xml:space="preserve"> 掌握主修项目的基础理论和训练方法以及其他运动项目的基本知识和基本技能。</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ascii="Arial" w:hAnsi="Arial" w:eastAsia="黑体"/>
          <w:sz w:val="28"/>
          <w:szCs w:val="24"/>
        </w:rPr>
        <w:t>(</w:t>
      </w:r>
      <w:r>
        <w:rPr>
          <w:rFonts w:hint="eastAsia" w:ascii="Arial" w:hAnsi="Arial" w:eastAsia="黑体"/>
          <w:sz w:val="28"/>
          <w:szCs w:val="24"/>
        </w:rPr>
        <w:t>六</w:t>
      </w:r>
      <w:r>
        <w:rPr>
          <w:rFonts w:ascii="Arial" w:hAnsi="Arial" w:eastAsia="黑体"/>
          <w:sz w:val="28"/>
          <w:szCs w:val="24"/>
        </w:rPr>
        <w:t>)</w:t>
      </w:r>
      <w:r>
        <w:rPr>
          <w:rFonts w:hint="eastAsia"/>
          <w:sz w:val="28"/>
          <w:szCs w:val="24"/>
        </w:rPr>
        <w:t xml:space="preserve"> 掌握主修项目的裁判知识，并具有一定的实践能力，达到国家三级裁判员水平。</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rPr>
      </w:pPr>
      <w:bookmarkStart w:id="2" w:name="_Toc440285"/>
      <w:r>
        <w:rPr>
          <w:rFonts w:hint="eastAsia"/>
          <w:sz w:val="32"/>
          <w:szCs w:val="21"/>
          <w:lang w:eastAsia="zh-CN"/>
        </w:rPr>
        <w:t>六</w:t>
      </w:r>
      <w:r>
        <w:rPr>
          <w:rFonts w:hint="eastAsia"/>
          <w:sz w:val="32"/>
          <w:szCs w:val="21"/>
        </w:rPr>
        <w:t>、课程设置及教学要求</w:t>
      </w:r>
      <w:bookmarkEnd w:id="2"/>
    </w:p>
    <w:p>
      <w:pPr>
        <w:pStyle w:val="2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宋体"/>
          <w:sz w:val="28"/>
          <w:szCs w:val="24"/>
        </w:rPr>
      </w:pPr>
      <w:r>
        <w:rPr>
          <w:rFonts w:hint="eastAsia" w:ascii="Times New Roman" w:hAnsi="Times New Roman" w:eastAsia="宋体"/>
          <w:sz w:val="28"/>
          <w:szCs w:val="24"/>
        </w:rPr>
        <w:t>本专业的课程可分为文化基础课程和主干专业课程两大类。</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845" w:firstLineChars="302"/>
        <w:textAlignment w:val="auto"/>
        <w:rPr>
          <w:rFonts w:hint="eastAsia"/>
          <w:sz w:val="28"/>
          <w:szCs w:val="24"/>
        </w:rPr>
      </w:pPr>
      <w:r>
        <w:rPr>
          <w:sz w:val="28"/>
          <w:szCs w:val="24"/>
        </w:rPr>
        <w:t>(</w:t>
      </w:r>
      <w:r>
        <w:rPr>
          <w:rFonts w:hint="eastAsia"/>
          <w:sz w:val="28"/>
          <w:szCs w:val="24"/>
        </w:rPr>
        <w:t>一</w:t>
      </w:r>
      <w:r>
        <w:rPr>
          <w:sz w:val="28"/>
          <w:szCs w:val="24"/>
        </w:rPr>
        <w:t>)</w:t>
      </w:r>
      <w:r>
        <w:rPr>
          <w:rFonts w:hint="eastAsia"/>
          <w:sz w:val="28"/>
          <w:szCs w:val="24"/>
        </w:rPr>
        <w:t xml:space="preserve"> 文化基础课程</w:t>
      </w:r>
      <w:r>
        <w:rPr>
          <w:sz w:val="28"/>
          <w:szCs w:val="24"/>
        </w:rPr>
        <w:t>(</w:t>
      </w:r>
      <w:r>
        <w:rPr>
          <w:rFonts w:hint="eastAsia"/>
          <w:sz w:val="28"/>
          <w:szCs w:val="24"/>
        </w:rPr>
        <w:t>必修</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845" w:firstLineChars="302"/>
        <w:textAlignment w:val="auto"/>
        <w:rPr>
          <w:rFonts w:hint="eastAsia"/>
          <w:sz w:val="28"/>
          <w:szCs w:val="24"/>
        </w:rPr>
      </w:pPr>
      <w:r>
        <w:rPr>
          <w:sz w:val="28"/>
          <w:szCs w:val="24"/>
        </w:rPr>
        <w:t xml:space="preserve">1. </w:t>
      </w:r>
      <w:r>
        <w:rPr>
          <w:rFonts w:hint="eastAsia"/>
          <w:sz w:val="28"/>
          <w:szCs w:val="24"/>
        </w:rPr>
        <w:t>德育</w:t>
      </w:r>
      <w:r>
        <w:rPr>
          <w:sz w:val="28"/>
          <w:szCs w:val="24"/>
        </w:rPr>
        <w:t>(</w:t>
      </w:r>
      <w:r>
        <w:rPr>
          <w:rFonts w:hint="eastAsia"/>
          <w:sz w:val="28"/>
          <w:szCs w:val="24"/>
        </w:rPr>
        <w:t>176学时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845" w:firstLineChars="302"/>
        <w:textAlignment w:val="auto"/>
        <w:rPr>
          <w:rFonts w:hint="eastAsia"/>
          <w:sz w:val="28"/>
          <w:szCs w:val="24"/>
        </w:rPr>
      </w:pPr>
      <w:r>
        <w:rPr>
          <w:sz w:val="28"/>
          <w:szCs w:val="24"/>
        </w:rPr>
        <w:t>(</w:t>
      </w:r>
      <w:r>
        <w:rPr>
          <w:rFonts w:hint="eastAsia"/>
          <w:sz w:val="28"/>
          <w:szCs w:val="24"/>
        </w:rPr>
        <w:t>1</w:t>
      </w:r>
      <w:r>
        <w:rPr>
          <w:sz w:val="28"/>
          <w:szCs w:val="24"/>
        </w:rPr>
        <w:t>)</w:t>
      </w:r>
      <w:r>
        <w:rPr>
          <w:rFonts w:hint="eastAsia"/>
          <w:sz w:val="28"/>
          <w:szCs w:val="24"/>
        </w:rPr>
        <w:t xml:space="preserve"> 哲学基础知识</w:t>
      </w:r>
      <w:r>
        <w:rPr>
          <w:sz w:val="28"/>
          <w:szCs w:val="24"/>
        </w:rPr>
        <w:t>(</w:t>
      </w:r>
      <w:r>
        <w:rPr>
          <w:rFonts w:hint="eastAsia"/>
          <w:sz w:val="28"/>
          <w:szCs w:val="24"/>
        </w:rPr>
        <w:t>48学时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本课程是中等职业学校学生必修的一门德育课程，旨在对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为将来从事社会实践打下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w:t>
      </w:r>
      <w:r>
        <w:rPr>
          <w:rFonts w:hint="eastAsia"/>
          <w:sz w:val="28"/>
          <w:szCs w:val="24"/>
        </w:rPr>
        <w:t>2</w:t>
      </w:r>
      <w:r>
        <w:rPr>
          <w:sz w:val="28"/>
          <w:szCs w:val="24"/>
        </w:rPr>
        <w:t>)</w:t>
      </w:r>
      <w:r>
        <w:rPr>
          <w:rFonts w:hint="eastAsia"/>
          <w:sz w:val="28"/>
          <w:szCs w:val="24"/>
        </w:rPr>
        <w:t xml:space="preserve"> 经济与政治基础知识</w:t>
      </w:r>
      <w:r>
        <w:rPr>
          <w:sz w:val="28"/>
          <w:szCs w:val="24"/>
        </w:rPr>
        <w:t>(</w:t>
      </w:r>
      <w:r>
        <w:rPr>
          <w:rFonts w:hint="eastAsia"/>
          <w:sz w:val="28"/>
          <w:szCs w:val="24"/>
        </w:rPr>
        <w:t>64学时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本课程是中等职业学校学生必修的一门德育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w:t>
      </w:r>
      <w:r>
        <w:rPr>
          <w:rFonts w:hint="eastAsia"/>
          <w:sz w:val="28"/>
          <w:szCs w:val="24"/>
        </w:rPr>
        <w:t>3</w:t>
      </w:r>
      <w:r>
        <w:rPr>
          <w:sz w:val="28"/>
          <w:szCs w:val="24"/>
        </w:rPr>
        <w:t>)</w:t>
      </w:r>
      <w:r>
        <w:rPr>
          <w:rFonts w:hint="eastAsia"/>
          <w:sz w:val="28"/>
          <w:szCs w:val="24"/>
        </w:rPr>
        <w:t xml:space="preserve"> 法律基础知识</w:t>
      </w:r>
      <w:r>
        <w:rPr>
          <w:sz w:val="28"/>
          <w:szCs w:val="24"/>
        </w:rPr>
        <w:t>(</w:t>
      </w:r>
      <w:r>
        <w:rPr>
          <w:rFonts w:hint="eastAsia"/>
          <w:sz w:val="28"/>
          <w:szCs w:val="24"/>
        </w:rPr>
        <w:t>32学时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本课程是中等职业学校学生必修的一门德育课程，旨在对学生进行法律基础知识教育。其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w:t>
      </w:r>
      <w:r>
        <w:rPr>
          <w:rFonts w:hint="eastAsia"/>
          <w:sz w:val="28"/>
          <w:szCs w:val="24"/>
        </w:rPr>
        <w:t>4</w:t>
      </w:r>
      <w:r>
        <w:rPr>
          <w:sz w:val="28"/>
          <w:szCs w:val="24"/>
        </w:rPr>
        <w:t>)</w:t>
      </w:r>
      <w:r>
        <w:rPr>
          <w:rFonts w:hint="eastAsia"/>
          <w:sz w:val="28"/>
          <w:szCs w:val="24"/>
        </w:rPr>
        <w:t xml:space="preserve"> 职业道德与职业指导</w:t>
      </w:r>
      <w:r>
        <w:rPr>
          <w:sz w:val="28"/>
          <w:szCs w:val="24"/>
        </w:rPr>
        <w:t>(</w:t>
      </w:r>
      <w:r>
        <w:rPr>
          <w:rFonts w:hint="eastAsia"/>
          <w:sz w:val="28"/>
          <w:szCs w:val="24"/>
        </w:rPr>
        <w:t>32学时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2</w:t>
      </w:r>
      <w:r>
        <w:rPr>
          <w:sz w:val="28"/>
          <w:szCs w:val="24"/>
        </w:rPr>
        <w:t xml:space="preserve">. </w:t>
      </w:r>
      <w:r>
        <w:rPr>
          <w:rFonts w:hint="eastAsia"/>
          <w:sz w:val="28"/>
          <w:szCs w:val="24"/>
        </w:rPr>
        <w:t>语文</w:t>
      </w:r>
      <w:r>
        <w:rPr>
          <w:sz w:val="28"/>
          <w:szCs w:val="24"/>
        </w:rPr>
        <w:t>(</w:t>
      </w:r>
      <w:r>
        <w:rPr>
          <w:rFonts w:hint="eastAsia"/>
          <w:sz w:val="28"/>
          <w:szCs w:val="24"/>
        </w:rPr>
        <w:t>285学时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在初中语文的基础上，进一步加强现代文和文言文阅读训练，提高学生阅读现代文和浅易文言文的能力；加强文学作品阅读教学，培养学生欣赏文学作品的能力；加强写作和口语交际训练，提高学生的应用文写作能力和日常口语交际水平。通过课内外的教学活动，使学生进一步巩固和扩展必需的语文基础知识，养成自学和运用语文的良好习惯，接受优秀文化熏陶，形成高尚的审美情趣。</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3.</w:t>
      </w:r>
      <w:r>
        <w:rPr>
          <w:rFonts w:hint="eastAsia"/>
          <w:sz w:val="28"/>
          <w:szCs w:val="24"/>
        </w:rPr>
        <w:t xml:space="preserve"> 数学</w:t>
      </w:r>
      <w:r>
        <w:rPr>
          <w:sz w:val="28"/>
          <w:szCs w:val="24"/>
        </w:rPr>
        <w:t>(</w:t>
      </w:r>
      <w:r>
        <w:rPr>
          <w:rFonts w:hint="eastAsia"/>
          <w:sz w:val="28"/>
          <w:szCs w:val="24"/>
        </w:rPr>
        <w:t>285学时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像、数形结合、思维和简单实际应用等能力，为学习专业课打下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4. </w:t>
      </w:r>
      <w:r>
        <w:rPr>
          <w:rFonts w:hint="eastAsia"/>
          <w:sz w:val="28"/>
          <w:szCs w:val="24"/>
        </w:rPr>
        <w:t>英语</w:t>
      </w:r>
      <w:r>
        <w:rPr>
          <w:sz w:val="28"/>
          <w:szCs w:val="24"/>
        </w:rPr>
        <w:t>(</w:t>
      </w:r>
      <w:r>
        <w:rPr>
          <w:rFonts w:hint="eastAsia"/>
          <w:sz w:val="28"/>
          <w:szCs w:val="24"/>
        </w:rPr>
        <w:t>285学时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5. </w:t>
      </w:r>
      <w:r>
        <w:rPr>
          <w:rFonts w:hint="eastAsia"/>
          <w:sz w:val="28"/>
          <w:szCs w:val="24"/>
        </w:rPr>
        <w:t>计算机应用基础</w:t>
      </w:r>
      <w:r>
        <w:rPr>
          <w:sz w:val="28"/>
          <w:szCs w:val="24"/>
        </w:rPr>
        <w:t>(</w:t>
      </w:r>
      <w:r>
        <w:rPr>
          <w:rFonts w:hint="eastAsia"/>
          <w:sz w:val="28"/>
          <w:szCs w:val="24"/>
        </w:rPr>
        <w:t>150学时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6. </w:t>
      </w:r>
      <w:r>
        <w:rPr>
          <w:rFonts w:hint="eastAsia"/>
          <w:sz w:val="28"/>
          <w:szCs w:val="24"/>
        </w:rPr>
        <w:t>综合文科</w:t>
      </w:r>
      <w:r>
        <w:rPr>
          <w:sz w:val="28"/>
          <w:szCs w:val="24"/>
        </w:rPr>
        <w:t>(</w:t>
      </w:r>
      <w:r>
        <w:rPr>
          <w:rFonts w:hint="eastAsia"/>
          <w:sz w:val="28"/>
          <w:szCs w:val="24"/>
        </w:rPr>
        <w:t>136学时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在初中相关课程的基础上，进一步学习历史、地理及人口、环境、资源等社会科学基础知识，了解社会，熟悉社会，基本掌握观察社会的正确立场、观点、方法，增强适应社会的能力，提高文化素养。</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7. </w:t>
      </w:r>
      <w:r>
        <w:rPr>
          <w:rFonts w:hint="eastAsia"/>
          <w:sz w:val="28"/>
          <w:szCs w:val="24"/>
        </w:rPr>
        <w:t>综合理科</w:t>
      </w:r>
      <w:r>
        <w:rPr>
          <w:sz w:val="28"/>
          <w:szCs w:val="24"/>
        </w:rPr>
        <w:t>(</w:t>
      </w:r>
      <w:r>
        <w:rPr>
          <w:rFonts w:hint="eastAsia"/>
          <w:sz w:val="28"/>
          <w:szCs w:val="24"/>
        </w:rPr>
        <w:t>136学时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在初中相关课程的基础上，进一步学习高中物理、化学和生物课程的基本内容，了解力、热、光、声、电和生活、生产中常见的有机物与无机物，生命的本质和运动以及生命与环境等自然科学基础知识，培养学生科学地解释各种自然现象和正确解决问题的能力，为学生的全面发展和继续学习打好基础。</w:t>
      </w:r>
    </w:p>
    <w:p>
      <w:pPr>
        <w:pStyle w:val="2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sz w:val="28"/>
          <w:szCs w:val="24"/>
        </w:rPr>
      </w:pPr>
      <w:r>
        <w:rPr>
          <w:sz w:val="28"/>
          <w:szCs w:val="24"/>
        </w:rPr>
        <w:t>(</w:t>
      </w:r>
      <w:r>
        <w:rPr>
          <w:rFonts w:hint="eastAsia"/>
          <w:sz w:val="28"/>
          <w:szCs w:val="24"/>
        </w:rPr>
        <w:t>二</w:t>
      </w:r>
      <w:r>
        <w:rPr>
          <w:sz w:val="28"/>
          <w:szCs w:val="24"/>
        </w:rPr>
        <w:t>)</w:t>
      </w:r>
      <w:r>
        <w:rPr>
          <w:rFonts w:hint="eastAsia"/>
          <w:sz w:val="28"/>
          <w:szCs w:val="24"/>
        </w:rPr>
        <w:t xml:space="preserve"> 主干专业课程</w:t>
      </w:r>
      <w:r>
        <w:rPr>
          <w:sz w:val="28"/>
          <w:szCs w:val="24"/>
        </w:rPr>
        <w:t>(</w:t>
      </w:r>
      <w:r>
        <w:rPr>
          <w:rFonts w:hint="eastAsia"/>
          <w:sz w:val="28"/>
          <w:szCs w:val="24"/>
        </w:rPr>
        <w:t>必修</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1</w:t>
      </w:r>
      <w:r>
        <w:rPr>
          <w:sz w:val="28"/>
          <w:szCs w:val="24"/>
        </w:rPr>
        <w:t xml:space="preserve">. </w:t>
      </w:r>
      <w:r>
        <w:rPr>
          <w:rFonts w:hint="eastAsia"/>
          <w:sz w:val="28"/>
          <w:szCs w:val="24"/>
        </w:rPr>
        <w:t>运动人体科学概论</w:t>
      </w:r>
      <w:r>
        <w:rPr>
          <w:sz w:val="28"/>
          <w:szCs w:val="24"/>
        </w:rPr>
        <w:t>(</w:t>
      </w:r>
      <w:r>
        <w:rPr>
          <w:rFonts w:hint="eastAsia"/>
          <w:sz w:val="28"/>
          <w:szCs w:val="24"/>
        </w:rPr>
        <w:t>68学时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学生通过对人体形态、结构、功能的学习，了解人体在运动过程中的生理变化，从而掌握科学运动训练的方法，找到提高自身运动训练效率的最佳途径。掌握人体形态、结构和各器官系统生理机能，以及体育保健方面的基本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2. </w:t>
      </w:r>
      <w:r>
        <w:rPr>
          <w:rFonts w:hint="eastAsia"/>
          <w:sz w:val="28"/>
          <w:szCs w:val="24"/>
        </w:rPr>
        <w:t>运动心理学基础</w:t>
      </w:r>
      <w:r>
        <w:rPr>
          <w:sz w:val="28"/>
          <w:szCs w:val="24"/>
        </w:rPr>
        <w:t>(</w:t>
      </w:r>
      <w:r>
        <w:rPr>
          <w:rFonts w:hint="eastAsia"/>
          <w:sz w:val="28"/>
          <w:szCs w:val="24"/>
        </w:rPr>
        <w:t>51学时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从心理学的基本原理入手施教，使学生了解运动心理的变化过程及在体育训练、竞赛中的作用，从而初步学会自我心理调节和提高竞技应变能力。同时，本科目也是运动员由少年到青年的成长过程中，逐步走向成熟的必不可少的专业基础课程。</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3. </w:t>
      </w:r>
      <w:r>
        <w:rPr>
          <w:rFonts w:hint="eastAsia"/>
          <w:sz w:val="28"/>
          <w:szCs w:val="24"/>
        </w:rPr>
        <w:t>社会体育学基础</w:t>
      </w:r>
      <w:r>
        <w:rPr>
          <w:sz w:val="28"/>
          <w:szCs w:val="24"/>
        </w:rPr>
        <w:t>(</w:t>
      </w:r>
      <w:r>
        <w:rPr>
          <w:rFonts w:hint="eastAsia"/>
          <w:sz w:val="28"/>
          <w:szCs w:val="24"/>
        </w:rPr>
        <w:t>51学时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了解体育在社会中的地位与作用及社会进步对体育的要求，进一步了解社会不同群体、不同区域、不同年龄层次的人群对体育的不同需求。了解社会体育的活动方式、组织方法和场地、器材、设施的要求及体育与娱乐活动结合的特点。了解作为大文化一部分的社会体育的社会功能、动作规律和作为一名社会体育工作者必需具备的基本理论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4. </w:t>
      </w:r>
      <w:r>
        <w:rPr>
          <w:rFonts w:hint="eastAsia"/>
          <w:sz w:val="28"/>
          <w:szCs w:val="24"/>
        </w:rPr>
        <w:t>运动训练学基础</w:t>
      </w:r>
      <w:r>
        <w:rPr>
          <w:sz w:val="28"/>
          <w:szCs w:val="24"/>
        </w:rPr>
        <w:t>(</w:t>
      </w:r>
      <w:r>
        <w:rPr>
          <w:rFonts w:hint="eastAsia"/>
          <w:sz w:val="28"/>
          <w:szCs w:val="24"/>
        </w:rPr>
        <w:t>51学时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运动训练学是研究运动训练规律的科学，是在运动训练实践过程中不断总结新经验、解决新问题，并归纳而上升为理论的学科，它吸收和反映了国内外运动训练基本理论及相关学科的新的研究成果。本学科旨在引导学生学会总结和归纳运动训练的基本规律。学生通过学习，应了解运动训练的过程、规律、并能将其运用到训练实践中。</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sz w:val="28"/>
          <w:szCs w:val="24"/>
        </w:rPr>
        <w:t xml:space="preserve">5. </w:t>
      </w:r>
      <w:r>
        <w:rPr>
          <w:rFonts w:hint="eastAsia"/>
          <w:sz w:val="28"/>
          <w:szCs w:val="24"/>
        </w:rPr>
        <w:t>专项训练</w:t>
      </w:r>
      <w:r>
        <w:rPr>
          <w:sz w:val="28"/>
          <w:szCs w:val="24"/>
        </w:rPr>
        <w:t>(</w:t>
      </w:r>
      <w:r>
        <w:rPr>
          <w:rFonts w:hint="eastAsia"/>
          <w:sz w:val="28"/>
          <w:szCs w:val="24"/>
        </w:rPr>
        <w:t>1710学时</w:t>
      </w:r>
      <w:r>
        <w:rPr>
          <w:sz w:val="28"/>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专项训练包括田径、游泳、篮球、排球、足球、羽毛球、乒乓球、摔跤、柔道、击剑、举重等项目，学生应选修其中一项。本课程包括理论课和实践课两部分，以实践课为主。通过理论学习和训练实践，培养学生热爱祖国和为体育事业拼搏、奉献的精神；并使学生获得在本专项上继续发展的良好的身体素质及掌握本专项的基本理论知识。经过三年学习，学生应达到要求等级以上的运动员水平</w:t>
      </w:r>
      <w:r>
        <w:rPr>
          <w:sz w:val="28"/>
          <w:szCs w:val="24"/>
        </w:rPr>
        <w:t>(</w:t>
      </w:r>
      <w:r>
        <w:rPr>
          <w:rFonts w:hint="eastAsia"/>
          <w:sz w:val="28"/>
          <w:szCs w:val="24"/>
        </w:rPr>
        <w:t>各项目的具体等级要求另定</w:t>
      </w:r>
      <w:r>
        <w:rPr>
          <w:sz w:val="28"/>
          <w:szCs w:val="24"/>
        </w:rPr>
        <w:t>)</w:t>
      </w:r>
      <w:r>
        <w:rPr>
          <w:rFonts w:hint="eastAsia"/>
          <w:sz w:val="28"/>
          <w:szCs w:val="24"/>
        </w:rPr>
        <w:t>。</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sz w:val="32"/>
          <w:szCs w:val="21"/>
        </w:rPr>
      </w:pPr>
      <w:bookmarkStart w:id="3" w:name="_Toc440286"/>
      <w:r>
        <w:rPr>
          <w:rFonts w:hint="eastAsia"/>
          <w:sz w:val="32"/>
          <w:szCs w:val="21"/>
          <w:lang w:eastAsia="zh-CN"/>
        </w:rPr>
        <w:t>七</w:t>
      </w:r>
      <w:r>
        <w:rPr>
          <w:rFonts w:hint="eastAsia"/>
          <w:sz w:val="32"/>
          <w:szCs w:val="21"/>
        </w:rPr>
        <w:t>、时 间 分 配</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25"/>
        <w:textAlignment w:val="auto"/>
        <w:rPr>
          <w:rFonts w:hint="eastAsia"/>
          <w:sz w:val="28"/>
          <w:szCs w:val="24"/>
        </w:rPr>
      </w:pPr>
      <w:r>
        <w:rPr>
          <w:rFonts w:hint="eastAsia"/>
          <w:sz w:val="28"/>
          <w:szCs w:val="24"/>
        </w:rPr>
        <w:t>根据教育部“关于制定中等职业学校教学计划的原则意见”</w:t>
      </w:r>
      <w:r>
        <w:rPr>
          <w:sz w:val="28"/>
          <w:szCs w:val="24"/>
        </w:rPr>
        <w:t>(</w:t>
      </w:r>
      <w:r>
        <w:rPr>
          <w:rFonts w:hint="eastAsia"/>
          <w:sz w:val="28"/>
          <w:szCs w:val="24"/>
        </w:rPr>
        <w:t>教职成[2000]2号</w:t>
      </w:r>
      <w:r>
        <w:rPr>
          <w:sz w:val="28"/>
          <w:szCs w:val="24"/>
        </w:rPr>
        <w:t>)</w:t>
      </w:r>
      <w:r>
        <w:rPr>
          <w:rFonts w:hint="eastAsia"/>
          <w:sz w:val="28"/>
          <w:szCs w:val="24"/>
        </w:rPr>
        <w:t>精神，中等职业学校3年制运动训练专业总的教学时间为106</w:t>
      </w:r>
      <w:r>
        <w:rPr>
          <w:rFonts w:hint="eastAsia" w:ascii="MS Mincho" w:hAnsi="MS Mincho" w:eastAsia="MS Mincho" w:cs="MS Mincho"/>
          <w:sz w:val="28"/>
          <w:szCs w:val="24"/>
        </w:rPr>
        <w:t> </w:t>
      </w:r>
      <w:r>
        <w:rPr>
          <w:rFonts w:hint="eastAsia"/>
          <w:sz w:val="28"/>
          <w:szCs w:val="24"/>
        </w:rPr>
        <w:t>~</w:t>
      </w:r>
      <w:r>
        <w:rPr>
          <w:rFonts w:hint="eastAsia" w:ascii="MS Mincho" w:hAnsi="MS Mincho" w:eastAsia="MS Mincho" w:cs="MS Mincho"/>
          <w:sz w:val="28"/>
          <w:szCs w:val="24"/>
        </w:rPr>
        <w:t> </w:t>
      </w:r>
      <w:r>
        <w:rPr>
          <w:rFonts w:hint="eastAsia"/>
          <w:sz w:val="28"/>
          <w:szCs w:val="24"/>
        </w:rPr>
        <w:t>111周，总学时约为3</w:t>
      </w:r>
      <w:r>
        <w:rPr>
          <w:rFonts w:hint="eastAsia" w:ascii="MS Mincho" w:hAnsi="MS Mincho" w:eastAsia="MS Mincho" w:cs="MS Mincho"/>
          <w:sz w:val="28"/>
          <w:szCs w:val="24"/>
        </w:rPr>
        <w:t> </w:t>
      </w:r>
      <w:r>
        <w:rPr>
          <w:rFonts w:hint="eastAsia"/>
          <w:sz w:val="28"/>
          <w:szCs w:val="24"/>
        </w:rPr>
        <w:t>000</w:t>
      </w:r>
      <w:r>
        <w:rPr>
          <w:rFonts w:hint="eastAsia" w:ascii="MS Mincho" w:hAnsi="MS Mincho" w:eastAsia="MS Mincho" w:cs="MS Mincho"/>
          <w:sz w:val="28"/>
          <w:szCs w:val="24"/>
        </w:rPr>
        <w:t> </w:t>
      </w:r>
      <w:r>
        <w:rPr>
          <w:rFonts w:hint="eastAsia"/>
          <w:sz w:val="28"/>
          <w:szCs w:val="24"/>
        </w:rPr>
        <w:t>~</w:t>
      </w:r>
      <w:r>
        <w:rPr>
          <w:rFonts w:hint="eastAsia" w:ascii="MS Mincho" w:hAnsi="MS Mincho" w:eastAsia="MS Mincho" w:cs="MS Mincho"/>
          <w:sz w:val="28"/>
          <w:szCs w:val="24"/>
        </w:rPr>
        <w:t> </w:t>
      </w:r>
      <w:r>
        <w:rPr>
          <w:rFonts w:hint="eastAsia"/>
          <w:sz w:val="28"/>
          <w:szCs w:val="24"/>
        </w:rPr>
        <w:t>3</w:t>
      </w:r>
      <w:r>
        <w:rPr>
          <w:rFonts w:hint="eastAsia" w:ascii="MS Mincho" w:hAnsi="MS Mincho" w:eastAsia="MS Mincho" w:cs="MS Mincho"/>
          <w:sz w:val="28"/>
          <w:szCs w:val="24"/>
        </w:rPr>
        <w:t> </w:t>
      </w:r>
      <w:r>
        <w:rPr>
          <w:rFonts w:hint="eastAsia"/>
          <w:sz w:val="28"/>
          <w:szCs w:val="24"/>
        </w:rPr>
        <w:t>300，由于运动训练专业需要大量的实践练习，故总教学时数约为3</w:t>
      </w:r>
      <w:r>
        <w:rPr>
          <w:rFonts w:hint="eastAsia" w:ascii="MS Mincho" w:hAnsi="MS Mincho" w:eastAsia="MS Mincho" w:cs="MS Mincho"/>
          <w:sz w:val="28"/>
          <w:szCs w:val="24"/>
        </w:rPr>
        <w:t> </w:t>
      </w:r>
      <w:r>
        <w:rPr>
          <w:rFonts w:hint="eastAsia"/>
          <w:sz w:val="28"/>
          <w:szCs w:val="24"/>
        </w:rPr>
        <w:t>700学时，周学时数为34</w:t>
      </w:r>
      <w:r>
        <w:rPr>
          <w:rFonts w:hint="eastAsia" w:ascii="MS Mincho" w:hAnsi="MS Mincho" w:eastAsia="MS Mincho" w:cs="MS Mincho"/>
          <w:sz w:val="28"/>
          <w:szCs w:val="24"/>
        </w:rPr>
        <w:t> </w:t>
      </w:r>
      <w:r>
        <w:rPr>
          <w:rFonts w:hint="eastAsia"/>
          <w:sz w:val="28"/>
          <w:szCs w:val="24"/>
        </w:rPr>
        <w:t>~</w:t>
      </w:r>
      <w:r>
        <w:rPr>
          <w:rFonts w:hint="eastAsia" w:ascii="MS Mincho" w:hAnsi="MS Mincho" w:eastAsia="MS Mincho" w:cs="MS Mincho"/>
          <w:sz w:val="28"/>
          <w:szCs w:val="24"/>
        </w:rPr>
        <w:t> </w:t>
      </w:r>
      <w:r>
        <w:rPr>
          <w:rFonts w:hint="eastAsia"/>
          <w:sz w:val="28"/>
          <w:szCs w:val="24"/>
        </w:rPr>
        <w:t>39学时。学校还可以灵活安排3</w:t>
      </w:r>
      <w:r>
        <w:rPr>
          <w:rFonts w:hint="eastAsia" w:ascii="MS Mincho" w:hAnsi="MS Mincho" w:eastAsia="MS Mincho" w:cs="MS Mincho"/>
          <w:sz w:val="28"/>
          <w:szCs w:val="24"/>
        </w:rPr>
        <w:t> </w:t>
      </w:r>
      <w:r>
        <w:rPr>
          <w:rFonts w:hint="eastAsia"/>
          <w:sz w:val="28"/>
          <w:szCs w:val="24"/>
        </w:rPr>
        <w:t>~</w:t>
      </w:r>
      <w:r>
        <w:rPr>
          <w:rFonts w:hint="eastAsia" w:ascii="MS Mincho" w:hAnsi="MS Mincho" w:eastAsia="MS Mincho" w:cs="MS Mincho"/>
          <w:sz w:val="28"/>
          <w:szCs w:val="24"/>
        </w:rPr>
        <w:t> </w:t>
      </w:r>
      <w:r>
        <w:rPr>
          <w:rFonts w:hint="eastAsia"/>
          <w:sz w:val="28"/>
          <w:szCs w:val="24"/>
        </w:rPr>
        <w:t>6周的教学或活动时间。复习考试时间为12周，寒暑假24</w:t>
      </w:r>
      <w:r>
        <w:rPr>
          <w:rFonts w:hint="eastAsia" w:ascii="MS Mincho" w:hAnsi="MS Mincho" w:eastAsia="MS Mincho" w:cs="MS Mincho"/>
          <w:sz w:val="28"/>
          <w:szCs w:val="24"/>
        </w:rPr>
        <w:t> </w:t>
      </w:r>
      <w:r>
        <w:rPr>
          <w:rFonts w:hint="eastAsia"/>
          <w:sz w:val="28"/>
          <w:szCs w:val="24"/>
        </w:rPr>
        <w:t>~</w:t>
      </w:r>
      <w:r>
        <w:rPr>
          <w:rFonts w:hint="eastAsia" w:ascii="MS Mincho" w:hAnsi="MS Mincho" w:eastAsia="MS Mincho" w:cs="MS Mincho"/>
          <w:sz w:val="28"/>
          <w:szCs w:val="24"/>
        </w:rPr>
        <w:t> </w:t>
      </w:r>
      <w:r>
        <w:rPr>
          <w:rFonts w:hint="eastAsia"/>
          <w:sz w:val="28"/>
          <w:szCs w:val="24"/>
        </w:rPr>
        <w:t>26周。教学实习及毕业或综合实习每周可安排25学时。文化基础课与专业课程的课时比例约为4∶6，其中专业课程中的实践教学比例应大于50%。毕业或综合实习安排7周。具体教学活动时间与课时安排范围见表1和表2。各地可参照执行。</w:t>
      </w:r>
    </w:p>
    <w:p>
      <w:pPr>
        <w:pStyle w:val="22"/>
        <w:rPr>
          <w:rFonts w:hint="eastAsia"/>
          <w:sz w:val="28"/>
          <w:szCs w:val="24"/>
        </w:rPr>
      </w:pPr>
      <w:r>
        <w:rPr>
          <w:rFonts w:hint="eastAsia"/>
          <w:sz w:val="28"/>
          <w:szCs w:val="24"/>
        </w:rPr>
        <w:t>表1  教学活动时间分配</w:t>
      </w:r>
      <w:r>
        <w:rPr>
          <w:sz w:val="28"/>
          <w:szCs w:val="24"/>
        </w:rPr>
        <w:t>(</w:t>
      </w:r>
      <w:r>
        <w:rPr>
          <w:rFonts w:hint="eastAsia"/>
          <w:sz w:val="28"/>
          <w:szCs w:val="24"/>
        </w:rPr>
        <w:t>供参考</w:t>
      </w:r>
      <w:r>
        <w:rPr>
          <w:sz w:val="28"/>
          <w:szCs w:val="24"/>
        </w:rPr>
        <w:t>)</w:t>
      </w:r>
    </w:p>
    <w:tbl>
      <w:tblPr>
        <w:tblStyle w:val="9"/>
        <w:tblW w:w="8558" w:type="dxa"/>
        <w:tblInd w:w="10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66"/>
        <w:gridCol w:w="574"/>
        <w:gridCol w:w="672"/>
        <w:gridCol w:w="1008"/>
        <w:gridCol w:w="1540"/>
        <w:gridCol w:w="1063"/>
        <w:gridCol w:w="10"/>
        <w:gridCol w:w="1073"/>
        <w:gridCol w:w="107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学年</w:t>
            </w:r>
          </w:p>
        </w:tc>
        <w:tc>
          <w:tcPr>
            <w:tcW w:w="966" w:type="dxa"/>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课堂教学</w:t>
            </w:r>
          </w:p>
        </w:tc>
        <w:tc>
          <w:tcPr>
            <w:tcW w:w="1246" w:type="dxa"/>
            <w:gridSpan w:val="2"/>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实 习</w:t>
            </w:r>
          </w:p>
        </w:tc>
        <w:tc>
          <w:tcPr>
            <w:tcW w:w="1008" w:type="dxa"/>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复习考试</w:t>
            </w:r>
          </w:p>
        </w:tc>
        <w:tc>
          <w:tcPr>
            <w:tcW w:w="1540" w:type="dxa"/>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入学、毕业教学</w:t>
            </w:r>
          </w:p>
        </w:tc>
        <w:tc>
          <w:tcPr>
            <w:tcW w:w="1073" w:type="dxa"/>
            <w:gridSpan w:val="2"/>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机 动</w:t>
            </w:r>
          </w:p>
        </w:tc>
        <w:tc>
          <w:tcPr>
            <w:tcW w:w="1073" w:type="dxa"/>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假 期</w:t>
            </w:r>
          </w:p>
        </w:tc>
        <w:tc>
          <w:tcPr>
            <w:tcW w:w="1078" w:type="dxa"/>
            <w:vMerge w:val="restart"/>
            <w:noWrap w:val="0"/>
            <w:vAlign w:val="center"/>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全年周数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40" w:lineRule="atLeast"/>
              <w:ind w:firstLine="0"/>
              <w:jc w:val="center"/>
              <w:rPr>
                <w:rFonts w:hint="eastAsia" w:ascii="Times New Roman" w:hAnsi="Times New Roman" w:eastAsia="宋体"/>
                <w:sz w:val="22"/>
                <w:szCs w:val="24"/>
              </w:rPr>
            </w:pPr>
          </w:p>
        </w:tc>
        <w:tc>
          <w:tcPr>
            <w:tcW w:w="966" w:type="dxa"/>
            <w:vMerge w:val="continue"/>
            <w:noWrap w:val="0"/>
            <w:vAlign w:val="top"/>
          </w:tcPr>
          <w:p>
            <w:pPr>
              <w:pStyle w:val="21"/>
              <w:spacing w:line="240" w:lineRule="atLeast"/>
              <w:ind w:firstLine="0"/>
              <w:jc w:val="center"/>
              <w:rPr>
                <w:rFonts w:hint="eastAsia" w:ascii="Times New Roman" w:hAnsi="Times New Roman" w:eastAsia="宋体"/>
                <w:sz w:val="22"/>
                <w:szCs w:val="24"/>
              </w:rPr>
            </w:pPr>
          </w:p>
        </w:tc>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教学</w:t>
            </w:r>
            <w:r>
              <w:rPr>
                <w:rFonts w:ascii="Times New Roman" w:hAnsi="Times New Roman" w:eastAsia="宋体"/>
                <w:sz w:val="22"/>
                <w:szCs w:val="24"/>
              </w:rPr>
              <w:br w:type="textWrapping"/>
            </w:r>
            <w:r>
              <w:rPr>
                <w:rFonts w:hint="eastAsia" w:ascii="Times New Roman" w:hAnsi="Times New Roman" w:eastAsia="宋体"/>
                <w:sz w:val="22"/>
                <w:szCs w:val="24"/>
              </w:rPr>
              <w:t>实习</w:t>
            </w:r>
          </w:p>
        </w:tc>
        <w:tc>
          <w:tcPr>
            <w:tcW w:w="672"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综合</w:t>
            </w:r>
            <w:r>
              <w:rPr>
                <w:rFonts w:ascii="Times New Roman" w:hAnsi="Times New Roman" w:eastAsia="宋体"/>
                <w:sz w:val="22"/>
                <w:szCs w:val="24"/>
              </w:rPr>
              <w:br w:type="textWrapping"/>
            </w:r>
            <w:r>
              <w:rPr>
                <w:rFonts w:hint="eastAsia" w:ascii="Times New Roman" w:hAnsi="Times New Roman" w:eastAsia="宋体"/>
                <w:sz w:val="22"/>
                <w:szCs w:val="24"/>
              </w:rPr>
              <w:t>实习</w:t>
            </w:r>
          </w:p>
        </w:tc>
        <w:tc>
          <w:tcPr>
            <w:tcW w:w="1008" w:type="dxa"/>
            <w:vMerge w:val="continue"/>
            <w:noWrap w:val="0"/>
            <w:vAlign w:val="top"/>
          </w:tcPr>
          <w:p>
            <w:pPr>
              <w:pStyle w:val="21"/>
              <w:spacing w:line="240" w:lineRule="atLeast"/>
              <w:ind w:firstLine="0"/>
              <w:jc w:val="center"/>
              <w:rPr>
                <w:rFonts w:hint="eastAsia" w:ascii="Times New Roman" w:hAnsi="Times New Roman" w:eastAsia="宋体"/>
                <w:sz w:val="22"/>
                <w:szCs w:val="24"/>
              </w:rPr>
            </w:pPr>
          </w:p>
        </w:tc>
        <w:tc>
          <w:tcPr>
            <w:tcW w:w="1540" w:type="dxa"/>
            <w:vMerge w:val="continue"/>
            <w:noWrap w:val="0"/>
            <w:vAlign w:val="top"/>
          </w:tcPr>
          <w:p>
            <w:pPr>
              <w:pStyle w:val="21"/>
              <w:spacing w:line="240" w:lineRule="atLeast"/>
              <w:ind w:firstLine="0"/>
              <w:jc w:val="center"/>
              <w:rPr>
                <w:rFonts w:hint="eastAsia" w:ascii="Times New Roman" w:hAnsi="Times New Roman" w:eastAsia="宋体"/>
                <w:sz w:val="22"/>
                <w:szCs w:val="24"/>
              </w:rPr>
            </w:pPr>
          </w:p>
        </w:tc>
        <w:tc>
          <w:tcPr>
            <w:tcW w:w="1073" w:type="dxa"/>
            <w:gridSpan w:val="2"/>
            <w:vMerge w:val="continue"/>
            <w:noWrap w:val="0"/>
            <w:vAlign w:val="top"/>
          </w:tcPr>
          <w:p>
            <w:pPr>
              <w:pStyle w:val="21"/>
              <w:spacing w:line="240" w:lineRule="atLeast"/>
              <w:ind w:firstLine="0"/>
              <w:jc w:val="center"/>
              <w:rPr>
                <w:rFonts w:hint="eastAsia" w:ascii="Times New Roman" w:hAnsi="Times New Roman" w:eastAsia="宋体"/>
                <w:sz w:val="22"/>
                <w:szCs w:val="24"/>
              </w:rPr>
            </w:pPr>
          </w:p>
        </w:tc>
        <w:tc>
          <w:tcPr>
            <w:tcW w:w="1073" w:type="dxa"/>
            <w:vMerge w:val="continue"/>
            <w:noWrap w:val="0"/>
            <w:vAlign w:val="top"/>
          </w:tcPr>
          <w:p>
            <w:pPr>
              <w:pStyle w:val="21"/>
              <w:spacing w:line="240" w:lineRule="atLeast"/>
              <w:ind w:firstLine="0"/>
              <w:jc w:val="center"/>
              <w:rPr>
                <w:rFonts w:hint="eastAsia" w:ascii="Times New Roman" w:hAnsi="Times New Roman" w:eastAsia="宋体"/>
                <w:sz w:val="22"/>
                <w:szCs w:val="24"/>
              </w:rPr>
            </w:pPr>
          </w:p>
        </w:tc>
        <w:tc>
          <w:tcPr>
            <w:tcW w:w="1078" w:type="dxa"/>
            <w:vMerge w:val="continue"/>
            <w:noWrap w:val="0"/>
            <w:vAlign w:val="top"/>
          </w:tcPr>
          <w:p>
            <w:pPr>
              <w:pStyle w:val="21"/>
              <w:spacing w:line="24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一</w:t>
            </w:r>
          </w:p>
        </w:tc>
        <w:tc>
          <w:tcPr>
            <w:tcW w:w="966"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34</w:t>
            </w:r>
          </w:p>
        </w:tc>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w:t>
            </w:r>
          </w:p>
        </w:tc>
        <w:tc>
          <w:tcPr>
            <w:tcW w:w="672" w:type="dxa"/>
            <w:noWrap w:val="0"/>
            <w:vAlign w:val="top"/>
          </w:tcPr>
          <w:p>
            <w:pPr>
              <w:pStyle w:val="21"/>
              <w:spacing w:line="240" w:lineRule="atLeast"/>
              <w:ind w:firstLine="0"/>
              <w:jc w:val="center"/>
              <w:rPr>
                <w:rFonts w:hint="eastAsia" w:ascii="Times New Roman" w:hAnsi="Times New Roman" w:eastAsia="宋体"/>
                <w:sz w:val="22"/>
                <w:szCs w:val="24"/>
              </w:rPr>
            </w:pPr>
          </w:p>
        </w:tc>
        <w:tc>
          <w:tcPr>
            <w:tcW w:w="100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4</w:t>
            </w:r>
          </w:p>
        </w:tc>
        <w:tc>
          <w:tcPr>
            <w:tcW w:w="1540"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w:t>
            </w:r>
          </w:p>
        </w:tc>
        <w:tc>
          <w:tcPr>
            <w:tcW w:w="1073" w:type="dxa"/>
            <w:gridSpan w:val="2"/>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p>
        </w:tc>
        <w:tc>
          <w:tcPr>
            <w:tcW w:w="1073"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10</w:t>
            </w:r>
          </w:p>
        </w:tc>
        <w:tc>
          <w:tcPr>
            <w:tcW w:w="107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二</w:t>
            </w:r>
          </w:p>
        </w:tc>
        <w:tc>
          <w:tcPr>
            <w:tcW w:w="966"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34</w:t>
            </w:r>
          </w:p>
        </w:tc>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p>
        </w:tc>
        <w:tc>
          <w:tcPr>
            <w:tcW w:w="672" w:type="dxa"/>
            <w:noWrap w:val="0"/>
            <w:vAlign w:val="top"/>
          </w:tcPr>
          <w:p>
            <w:pPr>
              <w:pStyle w:val="21"/>
              <w:spacing w:line="240" w:lineRule="atLeast"/>
              <w:ind w:firstLine="0"/>
              <w:jc w:val="center"/>
              <w:rPr>
                <w:rFonts w:hint="eastAsia" w:ascii="Times New Roman" w:hAnsi="Times New Roman" w:eastAsia="宋体"/>
                <w:sz w:val="22"/>
                <w:szCs w:val="24"/>
              </w:rPr>
            </w:pPr>
          </w:p>
        </w:tc>
        <w:tc>
          <w:tcPr>
            <w:tcW w:w="100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4</w:t>
            </w:r>
          </w:p>
        </w:tc>
        <w:tc>
          <w:tcPr>
            <w:tcW w:w="1540" w:type="dxa"/>
            <w:noWrap w:val="0"/>
            <w:vAlign w:val="top"/>
          </w:tcPr>
          <w:p>
            <w:pPr>
              <w:pStyle w:val="21"/>
              <w:spacing w:line="240" w:lineRule="atLeast"/>
              <w:ind w:firstLine="0"/>
              <w:jc w:val="center"/>
              <w:rPr>
                <w:rFonts w:hint="eastAsia" w:ascii="Times New Roman" w:hAnsi="Times New Roman" w:eastAsia="宋体"/>
                <w:sz w:val="22"/>
                <w:szCs w:val="24"/>
              </w:rPr>
            </w:pPr>
          </w:p>
        </w:tc>
        <w:tc>
          <w:tcPr>
            <w:tcW w:w="1073" w:type="dxa"/>
            <w:gridSpan w:val="2"/>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p>
        </w:tc>
        <w:tc>
          <w:tcPr>
            <w:tcW w:w="1073"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10</w:t>
            </w:r>
          </w:p>
        </w:tc>
        <w:tc>
          <w:tcPr>
            <w:tcW w:w="107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三</w:t>
            </w:r>
          </w:p>
        </w:tc>
        <w:tc>
          <w:tcPr>
            <w:tcW w:w="966"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27</w:t>
            </w:r>
          </w:p>
        </w:tc>
        <w:tc>
          <w:tcPr>
            <w:tcW w:w="574" w:type="dxa"/>
            <w:noWrap w:val="0"/>
            <w:vAlign w:val="top"/>
          </w:tcPr>
          <w:p>
            <w:pPr>
              <w:pStyle w:val="21"/>
              <w:spacing w:line="240" w:lineRule="atLeast"/>
              <w:ind w:firstLine="0"/>
              <w:jc w:val="center"/>
              <w:rPr>
                <w:rFonts w:hint="eastAsia" w:ascii="Times New Roman" w:hAnsi="Times New Roman" w:eastAsia="宋体"/>
                <w:sz w:val="22"/>
                <w:szCs w:val="24"/>
              </w:rPr>
            </w:pPr>
          </w:p>
        </w:tc>
        <w:tc>
          <w:tcPr>
            <w:tcW w:w="672"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7</w:t>
            </w:r>
          </w:p>
        </w:tc>
        <w:tc>
          <w:tcPr>
            <w:tcW w:w="100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4</w:t>
            </w:r>
          </w:p>
        </w:tc>
        <w:tc>
          <w:tcPr>
            <w:tcW w:w="1540"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w:t>
            </w:r>
          </w:p>
        </w:tc>
        <w:tc>
          <w:tcPr>
            <w:tcW w:w="1073" w:type="dxa"/>
            <w:gridSpan w:val="2"/>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p>
        </w:tc>
        <w:tc>
          <w:tcPr>
            <w:tcW w:w="1073"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4</w:t>
            </w:r>
          </w:p>
        </w:tc>
        <w:tc>
          <w:tcPr>
            <w:tcW w:w="107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45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总计</w:t>
            </w:r>
          </w:p>
        </w:tc>
        <w:tc>
          <w:tcPr>
            <w:tcW w:w="966"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95</w:t>
            </w:r>
          </w:p>
        </w:tc>
        <w:tc>
          <w:tcPr>
            <w:tcW w:w="574"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w:t>
            </w:r>
          </w:p>
        </w:tc>
        <w:tc>
          <w:tcPr>
            <w:tcW w:w="672"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7</w:t>
            </w:r>
          </w:p>
        </w:tc>
        <w:tc>
          <w:tcPr>
            <w:tcW w:w="100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12</w:t>
            </w:r>
          </w:p>
        </w:tc>
        <w:tc>
          <w:tcPr>
            <w:tcW w:w="1540"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p>
        </w:tc>
        <w:tc>
          <w:tcPr>
            <w:tcW w:w="1063"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6</w:t>
            </w:r>
          </w:p>
        </w:tc>
        <w:tc>
          <w:tcPr>
            <w:tcW w:w="1083" w:type="dxa"/>
            <w:gridSpan w:val="2"/>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24</w:t>
            </w:r>
          </w:p>
        </w:tc>
        <w:tc>
          <w:tcPr>
            <w:tcW w:w="1078" w:type="dxa"/>
            <w:noWrap w:val="0"/>
            <w:vAlign w:val="top"/>
          </w:tcPr>
          <w:p>
            <w:pPr>
              <w:pStyle w:val="21"/>
              <w:spacing w:line="24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149</w:t>
            </w:r>
          </w:p>
        </w:tc>
      </w:tr>
    </w:tbl>
    <w:p>
      <w:pPr>
        <w:pStyle w:val="22"/>
        <w:rPr>
          <w:rFonts w:hint="eastAsia"/>
          <w:sz w:val="28"/>
          <w:szCs w:val="24"/>
        </w:rPr>
      </w:pPr>
      <w:r>
        <w:rPr>
          <w:rFonts w:hint="eastAsia"/>
          <w:sz w:val="28"/>
          <w:szCs w:val="24"/>
        </w:rPr>
        <w:t>表2  课程设置与学时安排基本框架</w:t>
      </w:r>
    </w:p>
    <w:tbl>
      <w:tblPr>
        <w:tblStyle w:val="9"/>
        <w:tblW w:w="8553" w:type="dxa"/>
        <w:tblInd w:w="10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4"/>
        <w:gridCol w:w="630"/>
        <w:gridCol w:w="2548"/>
        <w:gridCol w:w="980"/>
        <w:gridCol w:w="1525"/>
        <w:gridCol w:w="22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40" w:hRule="atLeast"/>
        </w:trPr>
        <w:tc>
          <w:tcPr>
            <w:tcW w:w="574"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类别</w:t>
            </w: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序号</w:t>
            </w:r>
          </w:p>
        </w:tc>
        <w:tc>
          <w:tcPr>
            <w:tcW w:w="2548"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课程名称</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开设形式</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学时</w:t>
            </w:r>
          </w:p>
        </w:tc>
        <w:tc>
          <w:tcPr>
            <w:tcW w:w="2296"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学时数及占总课时数比例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restart"/>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文</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化</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基</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础</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课</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程</w:t>
            </w: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德育</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176</w:t>
            </w:r>
          </w:p>
        </w:tc>
        <w:tc>
          <w:tcPr>
            <w:tcW w:w="2296" w:type="dxa"/>
            <w:vMerge w:val="restart"/>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w:t>
            </w:r>
            <w:r>
              <w:rPr>
                <w:rFonts w:hint="eastAsia" w:ascii="MS Mincho" w:hAnsi="MS Mincho" w:eastAsia="MS Mincho" w:cs="MS Mincho"/>
                <w:sz w:val="22"/>
                <w:szCs w:val="24"/>
              </w:rPr>
              <w:t> </w:t>
            </w:r>
            <w:r>
              <w:rPr>
                <w:rFonts w:hint="eastAsia" w:ascii="Times New Roman" w:hAnsi="Times New Roman" w:eastAsia="宋体"/>
                <w:sz w:val="22"/>
                <w:szCs w:val="24"/>
              </w:rPr>
              <w:t>453</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语文</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285</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数学</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285</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4</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英语</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285</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计算机应用基础</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150</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6</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综合文科</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136</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7</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综合理科</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136</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restart"/>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专业</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课程</w:t>
            </w: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8</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运动人体科学概论</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68</w:t>
            </w:r>
          </w:p>
        </w:tc>
        <w:tc>
          <w:tcPr>
            <w:tcW w:w="2296" w:type="dxa"/>
            <w:vMerge w:val="restart"/>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w:t>
            </w:r>
            <w:r>
              <w:rPr>
                <w:rFonts w:hint="eastAsia" w:ascii="MS Mincho" w:hAnsi="MS Mincho" w:eastAsia="MS Mincho" w:cs="MS Mincho"/>
                <w:sz w:val="22"/>
                <w:szCs w:val="24"/>
              </w:rPr>
              <w:t> </w:t>
            </w:r>
            <w:r>
              <w:rPr>
                <w:rFonts w:hint="eastAsia" w:ascii="Times New Roman" w:hAnsi="Times New Roman" w:eastAsia="宋体"/>
                <w:sz w:val="22"/>
                <w:szCs w:val="24"/>
              </w:rPr>
              <w:t>079</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9</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运动心理学基础</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51</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10</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社会体育学基础</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51</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11</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运动训练学基础</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51</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12</w:t>
            </w:r>
          </w:p>
        </w:tc>
        <w:tc>
          <w:tcPr>
            <w:tcW w:w="2548" w:type="dxa"/>
            <w:noWrap w:val="0"/>
            <w:vAlign w:val="top"/>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专项训练</w:t>
            </w:r>
          </w:p>
        </w:tc>
        <w:tc>
          <w:tcPr>
            <w:tcW w:w="980"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w:t>
            </w:r>
            <w:r>
              <w:rPr>
                <w:rFonts w:hint="eastAsia" w:ascii="MS Mincho" w:hAnsi="MS Mincho" w:eastAsia="MS Mincho" w:cs="MS Mincho"/>
                <w:sz w:val="22"/>
                <w:szCs w:val="24"/>
              </w:rPr>
              <w:t> </w:t>
            </w:r>
            <w:r>
              <w:rPr>
                <w:rFonts w:hint="eastAsia" w:ascii="Times New Roman" w:hAnsi="Times New Roman" w:eastAsia="宋体"/>
                <w:sz w:val="22"/>
                <w:szCs w:val="24"/>
              </w:rPr>
              <w:t>710</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574" w:type="dxa"/>
            <w:vMerge w:val="restart"/>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专</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业</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选</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修</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课</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程</w:t>
            </w:r>
          </w:p>
        </w:tc>
        <w:tc>
          <w:tcPr>
            <w:tcW w:w="63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13</w:t>
            </w:r>
          </w:p>
        </w:tc>
        <w:tc>
          <w:tcPr>
            <w:tcW w:w="2548" w:type="dxa"/>
            <w:noWrap w:val="0"/>
            <w:vAlign w:val="center"/>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体育产业与经营</w:t>
            </w:r>
          </w:p>
        </w:tc>
        <w:tc>
          <w:tcPr>
            <w:tcW w:w="98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选修</w:t>
            </w:r>
          </w:p>
        </w:tc>
        <w:tc>
          <w:tcPr>
            <w:tcW w:w="1525"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32</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14</w:t>
            </w:r>
          </w:p>
        </w:tc>
        <w:tc>
          <w:tcPr>
            <w:tcW w:w="2548" w:type="dxa"/>
            <w:noWrap w:val="0"/>
            <w:vAlign w:val="center"/>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体育管理学</w:t>
            </w:r>
          </w:p>
        </w:tc>
        <w:tc>
          <w:tcPr>
            <w:tcW w:w="98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选修</w:t>
            </w:r>
          </w:p>
        </w:tc>
        <w:tc>
          <w:tcPr>
            <w:tcW w:w="1525"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32</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15</w:t>
            </w:r>
          </w:p>
        </w:tc>
        <w:tc>
          <w:tcPr>
            <w:tcW w:w="2548" w:type="dxa"/>
            <w:noWrap w:val="0"/>
            <w:vAlign w:val="center"/>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社会体育指导员</w:t>
            </w:r>
          </w:p>
        </w:tc>
        <w:tc>
          <w:tcPr>
            <w:tcW w:w="98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选修</w:t>
            </w:r>
          </w:p>
        </w:tc>
        <w:tc>
          <w:tcPr>
            <w:tcW w:w="1525"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32</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49" w:hRule="atLeas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16</w:t>
            </w:r>
          </w:p>
        </w:tc>
        <w:tc>
          <w:tcPr>
            <w:tcW w:w="2548" w:type="dxa"/>
            <w:noWrap w:val="0"/>
            <w:vAlign w:val="center"/>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艺术</w:t>
            </w:r>
          </w:p>
        </w:tc>
        <w:tc>
          <w:tcPr>
            <w:tcW w:w="98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选修</w:t>
            </w:r>
          </w:p>
        </w:tc>
        <w:tc>
          <w:tcPr>
            <w:tcW w:w="1525"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32</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574"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c>
          <w:tcPr>
            <w:tcW w:w="63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17</w:t>
            </w:r>
          </w:p>
        </w:tc>
        <w:tc>
          <w:tcPr>
            <w:tcW w:w="2548" w:type="dxa"/>
            <w:noWrap w:val="0"/>
            <w:vAlign w:val="center"/>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创新创业指导</w:t>
            </w:r>
          </w:p>
        </w:tc>
        <w:tc>
          <w:tcPr>
            <w:tcW w:w="980"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选修</w:t>
            </w:r>
          </w:p>
        </w:tc>
        <w:tc>
          <w:tcPr>
            <w:tcW w:w="1525"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20</w:t>
            </w:r>
          </w:p>
        </w:tc>
        <w:tc>
          <w:tcPr>
            <w:tcW w:w="2296" w:type="dxa"/>
            <w:vMerge w:val="continue"/>
            <w:noWrap w:val="0"/>
            <w:vAlign w:val="top"/>
          </w:tcPr>
          <w:p>
            <w:pPr>
              <w:pStyle w:val="21"/>
              <w:spacing w:line="200" w:lineRule="atLeast"/>
              <w:ind w:firstLine="0"/>
              <w:jc w:val="center"/>
              <w:rPr>
                <w:rFonts w:hint="eastAsia" w:ascii="Times New Roman" w:hAnsi="Times New Roman" w:eastAsia="宋体"/>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110" w:hRule="atLeast"/>
        </w:trPr>
        <w:tc>
          <w:tcPr>
            <w:tcW w:w="574" w:type="dxa"/>
            <w:tcBorders>
              <w:bottom w:val="nil"/>
            </w:tcBorders>
            <w:noWrap w:val="0"/>
            <w:vAlign w:val="top"/>
          </w:tcPr>
          <w:p>
            <w:pPr>
              <w:pStyle w:val="21"/>
              <w:spacing w:line="200" w:lineRule="atLeast"/>
              <w:ind w:firstLine="0"/>
              <w:rPr>
                <w:rFonts w:hint="eastAsia" w:ascii="Times New Roman" w:hAnsi="Times New Roman" w:eastAsia="宋体"/>
                <w:sz w:val="22"/>
                <w:szCs w:val="24"/>
              </w:rPr>
            </w:pPr>
          </w:p>
        </w:tc>
        <w:tc>
          <w:tcPr>
            <w:tcW w:w="630" w:type="dxa"/>
            <w:tcBorders>
              <w:bottom w:val="nil"/>
            </w:tcBorders>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18</w:t>
            </w:r>
          </w:p>
        </w:tc>
        <w:tc>
          <w:tcPr>
            <w:tcW w:w="2548" w:type="dxa"/>
            <w:tcBorders>
              <w:bottom w:val="nil"/>
            </w:tcBorders>
            <w:noWrap w:val="0"/>
            <w:vAlign w:val="center"/>
          </w:tcPr>
          <w:p>
            <w:pPr>
              <w:pStyle w:val="21"/>
              <w:spacing w:line="200" w:lineRule="atLeast"/>
              <w:ind w:firstLine="0"/>
              <w:rPr>
                <w:rFonts w:hint="eastAsia" w:ascii="Times New Roman" w:hAnsi="Times New Roman" w:eastAsia="宋体"/>
                <w:sz w:val="22"/>
                <w:szCs w:val="24"/>
              </w:rPr>
            </w:pPr>
            <w:r>
              <w:rPr>
                <w:rFonts w:hint="eastAsia" w:ascii="Times New Roman" w:hAnsi="Times New Roman" w:eastAsia="宋体"/>
                <w:sz w:val="22"/>
                <w:szCs w:val="24"/>
              </w:rPr>
              <w:t>专业实践</w:t>
            </w:r>
          </w:p>
        </w:tc>
        <w:tc>
          <w:tcPr>
            <w:tcW w:w="980" w:type="dxa"/>
            <w:tcBorders>
              <w:bottom w:val="nil"/>
            </w:tcBorders>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必修</w:t>
            </w:r>
          </w:p>
        </w:tc>
        <w:tc>
          <w:tcPr>
            <w:tcW w:w="1525" w:type="dxa"/>
            <w:tcBorders>
              <w:bottom w:val="nil"/>
            </w:tcBorders>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175</w:t>
            </w:r>
          </w:p>
        </w:tc>
        <w:tc>
          <w:tcPr>
            <w:tcW w:w="2296" w:type="dxa"/>
            <w:noWrap w:val="0"/>
            <w:vAlign w:val="center"/>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175</w:t>
            </w:r>
          </w:p>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4732" w:type="dxa"/>
            <w:gridSpan w:val="4"/>
            <w:tcBorders>
              <w:top w:val="single" w:color="auto" w:sz="4" w:space="0"/>
              <w:bottom w:val="single" w:color="auto" w:sz="8" w:space="0"/>
              <w:right w:val="single" w:color="auto" w:sz="4" w:space="0"/>
            </w:tcBorders>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合</w:t>
            </w:r>
            <w:r>
              <w:rPr>
                <w:rFonts w:ascii="Times New Roman" w:hAnsi="Times New Roman" w:eastAsia="宋体"/>
                <w:sz w:val="22"/>
                <w:szCs w:val="24"/>
              </w:rPr>
              <w:t xml:space="preserve">    </w:t>
            </w:r>
            <w:r>
              <w:rPr>
                <w:rFonts w:hint="eastAsia" w:ascii="Times New Roman" w:hAnsi="Times New Roman" w:eastAsia="宋体"/>
                <w:sz w:val="22"/>
                <w:szCs w:val="24"/>
              </w:rPr>
              <w:t>计</w:t>
            </w:r>
          </w:p>
        </w:tc>
        <w:tc>
          <w:tcPr>
            <w:tcW w:w="1525" w:type="dxa"/>
            <w:tcBorders>
              <w:top w:val="single" w:color="auto" w:sz="4" w:space="0"/>
              <w:left w:val="single" w:color="auto" w:sz="4" w:space="0"/>
              <w:bottom w:val="single" w:color="auto" w:sz="8" w:space="0"/>
            </w:tcBorders>
            <w:noWrap w:val="0"/>
            <w:vAlign w:val="top"/>
          </w:tcPr>
          <w:p>
            <w:pPr>
              <w:pStyle w:val="21"/>
              <w:spacing w:line="200" w:lineRule="atLeast"/>
              <w:ind w:firstLine="0"/>
              <w:jc w:val="center"/>
              <w:rPr>
                <w:rFonts w:hint="eastAsia" w:ascii="Times New Roman" w:hAnsi="Times New Roman" w:eastAsia="宋体"/>
                <w:sz w:val="22"/>
                <w:szCs w:val="24"/>
              </w:rPr>
            </w:pPr>
            <w:r>
              <w:rPr>
                <w:rFonts w:hint="eastAsia" w:ascii="Times New Roman" w:hAnsi="Times New Roman" w:eastAsia="宋体"/>
                <w:sz w:val="22"/>
                <w:szCs w:val="24"/>
              </w:rPr>
              <w:t>3</w:t>
            </w:r>
            <w:r>
              <w:rPr>
                <w:rFonts w:hint="eastAsia" w:ascii="MS Mincho" w:hAnsi="MS Mincho" w:eastAsia="MS Mincho" w:cs="MS Mincho"/>
                <w:sz w:val="22"/>
                <w:szCs w:val="24"/>
              </w:rPr>
              <w:t> </w:t>
            </w:r>
            <w:r>
              <w:rPr>
                <w:rFonts w:hint="eastAsia" w:ascii="Times New Roman" w:hAnsi="Times New Roman" w:eastAsia="宋体"/>
                <w:sz w:val="22"/>
                <w:szCs w:val="24"/>
              </w:rPr>
              <w:t>707</w:t>
            </w:r>
          </w:p>
        </w:tc>
        <w:tc>
          <w:tcPr>
            <w:tcW w:w="2296" w:type="dxa"/>
            <w:noWrap w:val="0"/>
            <w:vAlign w:val="top"/>
          </w:tcPr>
          <w:p>
            <w:pPr>
              <w:pStyle w:val="21"/>
              <w:spacing w:line="200" w:lineRule="atLeast"/>
              <w:ind w:firstLine="0"/>
              <w:jc w:val="center"/>
              <w:rPr>
                <w:rFonts w:hint="eastAsia" w:ascii="Times New Roman" w:hAnsi="Times New Roman" w:eastAsia="宋体"/>
                <w:sz w:val="22"/>
                <w:szCs w:val="24"/>
              </w:rPr>
            </w:pPr>
          </w:p>
        </w:tc>
      </w:tr>
    </w:tbl>
    <w:p>
      <w:pPr>
        <w:adjustRightInd w:val="0"/>
        <w:snapToGrid w:val="0"/>
        <w:spacing w:line="310" w:lineRule="atLeast"/>
        <w:ind w:firstLine="425"/>
        <w:rPr>
          <w:rFonts w:hint="eastAsia"/>
          <w:sz w:val="28"/>
          <w:szCs w:val="24"/>
        </w:rPr>
      </w:pPr>
      <w:r>
        <w:rPr>
          <w:rFonts w:hint="eastAsia"/>
          <w:sz w:val="28"/>
          <w:szCs w:val="24"/>
        </w:rPr>
        <w:t>注：本专业的特点是以运动训练为中心，特别强调专项技能水平在反复练习基础上的提高，因此在时间安排上“专项训练”时数所占比例为46%。为了保证学生具备最基本的文化素养和专业理论素质减轻学生的学习负担，适当降低了选修课程比例。</w:t>
      </w:r>
    </w:p>
    <w:p>
      <w:pPr>
        <w:pStyle w:val="20"/>
        <w:ind w:firstLine="640" w:firstLineChars="200"/>
        <w:jc w:val="both"/>
        <w:rPr>
          <w:rFonts w:hint="eastAsia"/>
          <w:sz w:val="32"/>
          <w:szCs w:val="21"/>
        </w:rPr>
      </w:pPr>
      <w:bookmarkStart w:id="4" w:name="_Toc440287"/>
      <w:r>
        <w:rPr>
          <w:rFonts w:hint="eastAsia"/>
          <w:sz w:val="32"/>
          <w:szCs w:val="21"/>
          <w:lang w:eastAsia="zh-CN"/>
        </w:rPr>
        <w:t>八</w:t>
      </w:r>
      <w:r>
        <w:rPr>
          <w:rFonts w:hint="eastAsia"/>
          <w:sz w:val="32"/>
          <w:szCs w:val="21"/>
        </w:rPr>
        <w:t>、课程教学时间安排</w:t>
      </w:r>
      <w:bookmarkEnd w:id="4"/>
    </w:p>
    <w:p>
      <w:pPr>
        <w:pStyle w:val="22"/>
        <w:rPr>
          <w:rFonts w:hint="eastAsia"/>
          <w:sz w:val="28"/>
          <w:szCs w:val="24"/>
        </w:rPr>
      </w:pPr>
      <w:r>
        <w:rPr>
          <w:rFonts w:hint="eastAsia"/>
          <w:sz w:val="28"/>
          <w:szCs w:val="24"/>
        </w:rPr>
        <w:t>表3  课程教学时间安排</w:t>
      </w:r>
      <w:r>
        <w:rPr>
          <w:sz w:val="28"/>
          <w:szCs w:val="24"/>
        </w:rPr>
        <w:t>(</w:t>
      </w:r>
      <w:r>
        <w:rPr>
          <w:rFonts w:hint="eastAsia"/>
          <w:sz w:val="28"/>
          <w:szCs w:val="24"/>
        </w:rPr>
        <w:t>供参考</w:t>
      </w:r>
      <w:r>
        <w:rPr>
          <w:sz w:val="28"/>
          <w:szCs w:val="24"/>
        </w:rPr>
        <w:t>)</w:t>
      </w:r>
    </w:p>
    <w:tbl>
      <w:tblPr>
        <w:tblStyle w:val="9"/>
        <w:tblW w:w="8559" w:type="dxa"/>
        <w:tblInd w:w="12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862"/>
        <w:gridCol w:w="871"/>
        <w:gridCol w:w="872"/>
        <w:gridCol w:w="7"/>
        <w:gridCol w:w="865"/>
        <w:gridCol w:w="872"/>
        <w:gridCol w:w="872"/>
        <w:gridCol w:w="878"/>
        <w:gridCol w:w="87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60" w:hRule="atLeast"/>
        </w:trPr>
        <w:tc>
          <w:tcPr>
            <w:tcW w:w="588" w:type="dxa"/>
            <w:vMerge w:val="restart"/>
            <w:noWrap w:val="0"/>
            <w:vAlign w:val="center"/>
          </w:tcPr>
          <w:p>
            <w:pPr>
              <w:adjustRightInd w:val="0"/>
              <w:snapToGrid w:val="0"/>
              <w:spacing w:line="240" w:lineRule="atLeast"/>
              <w:jc w:val="center"/>
              <w:rPr>
                <w:rFonts w:hint="eastAsia"/>
                <w:sz w:val="22"/>
                <w:szCs w:val="24"/>
              </w:rPr>
            </w:pPr>
            <w:r>
              <w:rPr>
                <w:rFonts w:hint="eastAsia"/>
                <w:sz w:val="22"/>
                <w:szCs w:val="24"/>
              </w:rPr>
              <w:t>课程</w:t>
            </w:r>
            <w:r>
              <w:rPr>
                <w:sz w:val="22"/>
                <w:szCs w:val="24"/>
              </w:rPr>
              <w:br w:type="textWrapping"/>
            </w:r>
            <w:r>
              <w:rPr>
                <w:rFonts w:hint="eastAsia"/>
                <w:sz w:val="22"/>
                <w:szCs w:val="24"/>
              </w:rPr>
              <w:t>类别</w:t>
            </w:r>
          </w:p>
        </w:tc>
        <w:tc>
          <w:tcPr>
            <w:tcW w:w="1862" w:type="dxa"/>
            <w:noWrap w:val="0"/>
            <w:vAlign w:val="center"/>
          </w:tcPr>
          <w:p>
            <w:pPr>
              <w:adjustRightInd w:val="0"/>
              <w:snapToGrid w:val="0"/>
              <w:spacing w:line="280" w:lineRule="atLeast"/>
              <w:jc w:val="center"/>
              <w:rPr>
                <w:rFonts w:hint="eastAsia"/>
                <w:sz w:val="22"/>
                <w:szCs w:val="24"/>
              </w:rPr>
            </w:pPr>
            <w:r>
              <w:rPr>
                <w:rFonts w:hint="eastAsia"/>
                <w:sz w:val="22"/>
                <w:szCs w:val="24"/>
              </w:rPr>
              <w:t>年级</w:t>
            </w:r>
          </w:p>
        </w:tc>
        <w:tc>
          <w:tcPr>
            <w:tcW w:w="1750" w:type="dxa"/>
            <w:gridSpan w:val="3"/>
            <w:noWrap w:val="0"/>
            <w:vAlign w:val="center"/>
          </w:tcPr>
          <w:p>
            <w:pPr>
              <w:adjustRightInd w:val="0"/>
              <w:snapToGrid w:val="0"/>
              <w:spacing w:line="280" w:lineRule="atLeast"/>
              <w:jc w:val="center"/>
              <w:rPr>
                <w:rFonts w:hint="eastAsia"/>
                <w:sz w:val="22"/>
                <w:szCs w:val="24"/>
              </w:rPr>
            </w:pPr>
            <w:r>
              <w:rPr>
                <w:rFonts w:hint="eastAsia"/>
                <w:sz w:val="22"/>
                <w:szCs w:val="24"/>
              </w:rPr>
              <w:t>第一学年</w:t>
            </w:r>
          </w:p>
        </w:tc>
        <w:tc>
          <w:tcPr>
            <w:tcW w:w="1737"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第二学年</w:t>
            </w:r>
          </w:p>
        </w:tc>
        <w:tc>
          <w:tcPr>
            <w:tcW w:w="1750"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第三学年</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总学时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jc w:val="center"/>
              <w:rPr>
                <w:rFonts w:hint="eastAsia"/>
                <w:sz w:val="22"/>
                <w:szCs w:val="24"/>
              </w:rPr>
            </w:pPr>
            <w:r>
              <w:rPr>
                <w:rFonts w:hint="eastAsia"/>
                <w:sz w:val="22"/>
                <w:szCs w:val="24"/>
              </w:rPr>
              <w:t>周数</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17</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17</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17</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17</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17</w:t>
            </w: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10</w:t>
            </w:r>
          </w:p>
        </w:tc>
        <w:tc>
          <w:tcPr>
            <w:tcW w:w="872" w:type="dxa"/>
            <w:noWrap w:val="0"/>
            <w:vAlign w:val="center"/>
          </w:tcPr>
          <w:p>
            <w:pPr>
              <w:adjustRightInd w:val="0"/>
              <w:snapToGrid w:val="0"/>
              <w:spacing w:line="280" w:lineRule="atLeast"/>
              <w:jc w:val="center"/>
              <w:rPr>
                <w:rFonts w:hint="eastAsia"/>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restart"/>
            <w:noWrap w:val="0"/>
            <w:vAlign w:val="center"/>
          </w:tcPr>
          <w:p>
            <w:pPr>
              <w:adjustRightInd w:val="0"/>
              <w:snapToGrid w:val="0"/>
              <w:spacing w:line="240" w:lineRule="atLeast"/>
              <w:jc w:val="center"/>
              <w:rPr>
                <w:rFonts w:hint="eastAsia"/>
                <w:sz w:val="22"/>
                <w:szCs w:val="24"/>
              </w:rPr>
            </w:pPr>
            <w:r>
              <w:rPr>
                <w:rFonts w:hint="eastAsia"/>
                <w:sz w:val="22"/>
                <w:szCs w:val="24"/>
              </w:rPr>
              <w:t>文</w:t>
            </w:r>
          </w:p>
          <w:p>
            <w:pPr>
              <w:adjustRightInd w:val="0"/>
              <w:snapToGrid w:val="0"/>
              <w:spacing w:line="240" w:lineRule="atLeast"/>
              <w:jc w:val="center"/>
              <w:rPr>
                <w:rFonts w:hint="eastAsia"/>
                <w:sz w:val="22"/>
                <w:szCs w:val="24"/>
              </w:rPr>
            </w:pPr>
            <w:r>
              <w:rPr>
                <w:rFonts w:hint="eastAsia"/>
                <w:sz w:val="22"/>
                <w:szCs w:val="24"/>
              </w:rPr>
              <w:t>化</w:t>
            </w:r>
          </w:p>
          <w:p>
            <w:pPr>
              <w:adjustRightInd w:val="0"/>
              <w:snapToGrid w:val="0"/>
              <w:spacing w:line="240" w:lineRule="atLeast"/>
              <w:jc w:val="center"/>
              <w:rPr>
                <w:rFonts w:hint="eastAsia"/>
                <w:sz w:val="22"/>
                <w:szCs w:val="24"/>
              </w:rPr>
            </w:pPr>
            <w:r>
              <w:rPr>
                <w:rFonts w:hint="eastAsia"/>
                <w:sz w:val="22"/>
                <w:szCs w:val="24"/>
              </w:rPr>
              <w:t>基</w:t>
            </w:r>
          </w:p>
          <w:p>
            <w:pPr>
              <w:adjustRightInd w:val="0"/>
              <w:snapToGrid w:val="0"/>
              <w:spacing w:line="240" w:lineRule="atLeast"/>
              <w:jc w:val="center"/>
              <w:rPr>
                <w:rFonts w:hint="eastAsia"/>
                <w:sz w:val="22"/>
                <w:szCs w:val="24"/>
              </w:rPr>
            </w:pPr>
            <w:r>
              <w:rPr>
                <w:rFonts w:hint="eastAsia"/>
                <w:sz w:val="22"/>
                <w:szCs w:val="24"/>
              </w:rPr>
              <w:t>础</w:t>
            </w:r>
          </w:p>
          <w:p>
            <w:pPr>
              <w:adjustRightInd w:val="0"/>
              <w:snapToGrid w:val="0"/>
              <w:spacing w:line="240" w:lineRule="atLeast"/>
              <w:jc w:val="center"/>
              <w:rPr>
                <w:rFonts w:hint="eastAsia"/>
                <w:sz w:val="22"/>
                <w:szCs w:val="24"/>
              </w:rPr>
            </w:pPr>
            <w:r>
              <w:rPr>
                <w:rFonts w:hint="eastAsia"/>
                <w:sz w:val="22"/>
                <w:szCs w:val="24"/>
              </w:rPr>
              <w:t>课</w:t>
            </w:r>
          </w:p>
          <w:p>
            <w:pPr>
              <w:adjustRightInd w:val="0"/>
              <w:snapToGrid w:val="0"/>
              <w:spacing w:line="240" w:lineRule="atLeast"/>
              <w:jc w:val="center"/>
              <w:rPr>
                <w:rFonts w:hint="eastAsia"/>
                <w:sz w:val="22"/>
                <w:szCs w:val="24"/>
              </w:rPr>
            </w:pPr>
            <w:r>
              <w:rPr>
                <w:rFonts w:hint="eastAsia"/>
                <w:sz w:val="22"/>
                <w:szCs w:val="24"/>
              </w:rPr>
              <w:t>程</w:t>
            </w: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哲学基础知识</w:t>
            </w:r>
          </w:p>
        </w:tc>
        <w:tc>
          <w:tcPr>
            <w:tcW w:w="871"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w:t>
            </w:r>
          </w:p>
        </w:tc>
        <w:tc>
          <w:tcPr>
            <w:tcW w:w="872" w:type="dxa"/>
            <w:noWrap w:val="0"/>
            <w:vAlign w:val="center"/>
          </w:tcPr>
          <w:p>
            <w:pPr>
              <w:adjustRightInd w:val="0"/>
              <w:snapToGrid w:val="0"/>
              <w:spacing w:line="280" w:lineRule="atLeast"/>
              <w:jc w:val="center"/>
              <w:rPr>
                <w:rFonts w:hint="eastAsia"/>
                <w:sz w:val="22"/>
                <w:szCs w:val="24"/>
              </w:rPr>
            </w:pPr>
          </w:p>
        </w:tc>
        <w:tc>
          <w:tcPr>
            <w:tcW w:w="878"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48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经济与政治基础知识</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gridSpan w:val="2"/>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8"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64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法律基础知识</w:t>
            </w:r>
          </w:p>
        </w:tc>
        <w:tc>
          <w:tcPr>
            <w:tcW w:w="871"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gridSpan w:val="2"/>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w:t>
            </w:r>
          </w:p>
        </w:tc>
        <w:tc>
          <w:tcPr>
            <w:tcW w:w="878"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职业道德与职业指导</w:t>
            </w:r>
          </w:p>
        </w:tc>
        <w:tc>
          <w:tcPr>
            <w:tcW w:w="871"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gridSpan w:val="2"/>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w:t>
            </w: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语文</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285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数学</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285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英语</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285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计算机应用基础</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8"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综合文科</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p>
        </w:tc>
        <w:tc>
          <w:tcPr>
            <w:tcW w:w="878"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136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80" w:lineRule="atLeast"/>
              <w:rPr>
                <w:rFonts w:hint="eastAsia"/>
                <w:sz w:val="22"/>
                <w:szCs w:val="24"/>
              </w:rPr>
            </w:pPr>
            <w:r>
              <w:rPr>
                <w:rFonts w:hint="eastAsia"/>
                <w:sz w:val="22"/>
                <w:szCs w:val="24"/>
              </w:rPr>
              <w:t>综合理科</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80" w:lineRule="atLeast"/>
              <w:jc w:val="center"/>
              <w:rPr>
                <w:rFonts w:hint="eastAsia"/>
                <w:sz w:val="22"/>
                <w:szCs w:val="24"/>
              </w:rPr>
            </w:pPr>
          </w:p>
        </w:tc>
        <w:tc>
          <w:tcPr>
            <w:tcW w:w="878"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136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588" w:type="dxa"/>
            <w:vMerge w:val="restart"/>
            <w:noWrap w:val="0"/>
            <w:vAlign w:val="center"/>
          </w:tcPr>
          <w:p>
            <w:pPr>
              <w:adjustRightInd w:val="0"/>
              <w:snapToGrid w:val="0"/>
              <w:spacing w:line="240" w:lineRule="atLeast"/>
              <w:jc w:val="center"/>
              <w:rPr>
                <w:rFonts w:hint="eastAsia"/>
                <w:sz w:val="22"/>
                <w:szCs w:val="24"/>
              </w:rPr>
            </w:pPr>
            <w:r>
              <w:rPr>
                <w:rFonts w:hint="eastAsia"/>
                <w:sz w:val="22"/>
                <w:szCs w:val="24"/>
              </w:rPr>
              <w:t>专</w:t>
            </w:r>
          </w:p>
          <w:p>
            <w:pPr>
              <w:adjustRightInd w:val="0"/>
              <w:snapToGrid w:val="0"/>
              <w:spacing w:line="240" w:lineRule="atLeast"/>
              <w:jc w:val="center"/>
              <w:rPr>
                <w:rFonts w:hint="eastAsia"/>
                <w:sz w:val="22"/>
                <w:szCs w:val="24"/>
              </w:rPr>
            </w:pPr>
            <w:r>
              <w:rPr>
                <w:rFonts w:hint="eastAsia"/>
                <w:sz w:val="22"/>
                <w:szCs w:val="24"/>
              </w:rPr>
              <w:t>业</w:t>
            </w:r>
          </w:p>
          <w:p>
            <w:pPr>
              <w:adjustRightInd w:val="0"/>
              <w:snapToGrid w:val="0"/>
              <w:spacing w:line="240" w:lineRule="atLeast"/>
              <w:jc w:val="center"/>
              <w:rPr>
                <w:rFonts w:hint="eastAsia"/>
                <w:sz w:val="22"/>
                <w:szCs w:val="24"/>
              </w:rPr>
            </w:pPr>
            <w:r>
              <w:rPr>
                <w:rFonts w:hint="eastAsia"/>
                <w:sz w:val="22"/>
                <w:szCs w:val="24"/>
              </w:rPr>
              <w:t>必</w:t>
            </w:r>
          </w:p>
          <w:p>
            <w:pPr>
              <w:adjustRightInd w:val="0"/>
              <w:snapToGrid w:val="0"/>
              <w:spacing w:line="240" w:lineRule="atLeast"/>
              <w:jc w:val="center"/>
              <w:rPr>
                <w:rFonts w:hint="eastAsia"/>
                <w:sz w:val="22"/>
                <w:szCs w:val="24"/>
              </w:rPr>
            </w:pPr>
            <w:r>
              <w:rPr>
                <w:rFonts w:hint="eastAsia"/>
                <w:sz w:val="22"/>
                <w:szCs w:val="24"/>
              </w:rPr>
              <w:t>修</w:t>
            </w:r>
          </w:p>
          <w:p>
            <w:pPr>
              <w:adjustRightInd w:val="0"/>
              <w:snapToGrid w:val="0"/>
              <w:spacing w:line="240" w:lineRule="atLeast"/>
              <w:jc w:val="center"/>
              <w:rPr>
                <w:rFonts w:hint="eastAsia"/>
                <w:sz w:val="22"/>
                <w:szCs w:val="24"/>
              </w:rPr>
            </w:pPr>
            <w:r>
              <w:rPr>
                <w:rFonts w:hint="eastAsia"/>
                <w:sz w:val="22"/>
                <w:szCs w:val="24"/>
              </w:rPr>
              <w:t>课</w:t>
            </w:r>
          </w:p>
          <w:p>
            <w:pPr>
              <w:adjustRightInd w:val="0"/>
              <w:snapToGrid w:val="0"/>
              <w:spacing w:line="240" w:lineRule="atLeast"/>
              <w:jc w:val="center"/>
              <w:rPr>
                <w:rFonts w:hint="eastAsia"/>
                <w:sz w:val="22"/>
                <w:szCs w:val="24"/>
              </w:rPr>
            </w:pPr>
            <w:r>
              <w:rPr>
                <w:rFonts w:hint="eastAsia"/>
                <w:sz w:val="22"/>
                <w:szCs w:val="24"/>
              </w:rPr>
              <w:t>程</w:t>
            </w: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运动人体科学概论</w:t>
            </w:r>
          </w:p>
        </w:tc>
        <w:tc>
          <w:tcPr>
            <w:tcW w:w="871"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68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运动心理学基础</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w:t>
            </w:r>
          </w:p>
        </w:tc>
        <w:tc>
          <w:tcPr>
            <w:tcW w:w="872" w:type="dxa"/>
            <w:gridSpan w:val="2"/>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社会体育学基础</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运动训练学基础</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w:t>
            </w: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专项训练</w:t>
            </w:r>
          </w:p>
        </w:tc>
        <w:tc>
          <w:tcPr>
            <w:tcW w:w="871" w:type="dxa"/>
            <w:noWrap w:val="0"/>
            <w:vAlign w:val="center"/>
          </w:tcPr>
          <w:p>
            <w:pPr>
              <w:adjustRightInd w:val="0"/>
              <w:snapToGrid w:val="0"/>
              <w:spacing w:line="240" w:lineRule="atLeast"/>
              <w:jc w:val="center"/>
              <w:rPr>
                <w:rFonts w:hint="eastAsia"/>
                <w:sz w:val="22"/>
                <w:szCs w:val="24"/>
              </w:rPr>
            </w:pPr>
            <w:r>
              <w:rPr>
                <w:rFonts w:hint="eastAsia"/>
                <w:sz w:val="22"/>
                <w:szCs w:val="24"/>
              </w:rPr>
              <w:t>18</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18</w:t>
            </w:r>
          </w:p>
        </w:tc>
        <w:tc>
          <w:tcPr>
            <w:tcW w:w="872" w:type="dxa"/>
            <w:gridSpan w:val="2"/>
            <w:noWrap w:val="0"/>
            <w:vAlign w:val="center"/>
          </w:tcPr>
          <w:p>
            <w:pPr>
              <w:adjustRightInd w:val="0"/>
              <w:snapToGrid w:val="0"/>
              <w:spacing w:line="240" w:lineRule="atLeast"/>
              <w:jc w:val="center"/>
              <w:rPr>
                <w:rFonts w:hint="eastAsia"/>
                <w:sz w:val="22"/>
                <w:szCs w:val="24"/>
              </w:rPr>
            </w:pPr>
            <w:r>
              <w:rPr>
                <w:rFonts w:hint="eastAsia"/>
                <w:sz w:val="22"/>
                <w:szCs w:val="24"/>
              </w:rPr>
              <w:t>18</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18</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18</w:t>
            </w:r>
          </w:p>
        </w:tc>
        <w:tc>
          <w:tcPr>
            <w:tcW w:w="878" w:type="dxa"/>
            <w:noWrap w:val="0"/>
            <w:vAlign w:val="center"/>
          </w:tcPr>
          <w:p>
            <w:pPr>
              <w:adjustRightInd w:val="0"/>
              <w:snapToGrid w:val="0"/>
              <w:spacing w:line="240" w:lineRule="atLeast"/>
              <w:jc w:val="center"/>
              <w:rPr>
                <w:rFonts w:hint="eastAsia"/>
                <w:sz w:val="22"/>
                <w:szCs w:val="24"/>
              </w:rPr>
            </w:pPr>
            <w:r>
              <w:rPr>
                <w:rFonts w:hint="eastAsia"/>
                <w:sz w:val="22"/>
                <w:szCs w:val="24"/>
              </w:rPr>
              <w:t>18</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w:t>
            </w:r>
            <w:r>
              <w:rPr>
                <w:rFonts w:hint="eastAsia" w:ascii="MS Mincho" w:hAnsi="MS Mincho" w:eastAsia="MS Mincho" w:cs="MS Mincho"/>
                <w:sz w:val="22"/>
                <w:szCs w:val="24"/>
              </w:rPr>
              <w:t> </w:t>
            </w:r>
            <w:r>
              <w:rPr>
                <w:rFonts w:hint="eastAsia"/>
                <w:sz w:val="22"/>
                <w:szCs w:val="24"/>
              </w:rPr>
              <w:t>710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restart"/>
            <w:noWrap w:val="0"/>
            <w:vAlign w:val="center"/>
          </w:tcPr>
          <w:p>
            <w:pPr>
              <w:adjustRightInd w:val="0"/>
              <w:snapToGrid w:val="0"/>
              <w:spacing w:line="240" w:lineRule="atLeast"/>
              <w:jc w:val="center"/>
              <w:rPr>
                <w:rFonts w:hint="eastAsia"/>
                <w:sz w:val="22"/>
                <w:szCs w:val="24"/>
              </w:rPr>
            </w:pPr>
            <w:r>
              <w:rPr>
                <w:rFonts w:hint="eastAsia"/>
                <w:sz w:val="22"/>
                <w:szCs w:val="24"/>
              </w:rPr>
              <w:t>专</w:t>
            </w:r>
          </w:p>
          <w:p>
            <w:pPr>
              <w:adjustRightInd w:val="0"/>
              <w:snapToGrid w:val="0"/>
              <w:spacing w:line="240" w:lineRule="atLeast"/>
              <w:jc w:val="center"/>
              <w:rPr>
                <w:rFonts w:hint="eastAsia"/>
                <w:sz w:val="22"/>
                <w:szCs w:val="24"/>
              </w:rPr>
            </w:pPr>
            <w:r>
              <w:rPr>
                <w:rFonts w:hint="eastAsia"/>
                <w:sz w:val="22"/>
                <w:szCs w:val="24"/>
              </w:rPr>
              <w:t>业</w:t>
            </w:r>
          </w:p>
          <w:p>
            <w:pPr>
              <w:adjustRightInd w:val="0"/>
              <w:snapToGrid w:val="0"/>
              <w:spacing w:line="240" w:lineRule="atLeast"/>
              <w:jc w:val="center"/>
              <w:rPr>
                <w:rFonts w:hint="eastAsia"/>
                <w:sz w:val="22"/>
                <w:szCs w:val="24"/>
              </w:rPr>
            </w:pPr>
            <w:r>
              <w:rPr>
                <w:rFonts w:hint="eastAsia"/>
                <w:sz w:val="22"/>
                <w:szCs w:val="24"/>
              </w:rPr>
              <w:t>选</w:t>
            </w:r>
          </w:p>
          <w:p>
            <w:pPr>
              <w:adjustRightInd w:val="0"/>
              <w:snapToGrid w:val="0"/>
              <w:spacing w:line="240" w:lineRule="atLeast"/>
              <w:jc w:val="center"/>
              <w:rPr>
                <w:rFonts w:hint="eastAsia"/>
                <w:sz w:val="22"/>
                <w:szCs w:val="24"/>
              </w:rPr>
            </w:pPr>
            <w:r>
              <w:rPr>
                <w:rFonts w:hint="eastAsia"/>
                <w:sz w:val="22"/>
                <w:szCs w:val="24"/>
              </w:rPr>
              <w:t>修</w:t>
            </w:r>
          </w:p>
          <w:p>
            <w:pPr>
              <w:adjustRightInd w:val="0"/>
              <w:snapToGrid w:val="0"/>
              <w:spacing w:line="240" w:lineRule="atLeast"/>
              <w:jc w:val="center"/>
              <w:rPr>
                <w:rFonts w:hint="eastAsia"/>
                <w:sz w:val="22"/>
                <w:szCs w:val="24"/>
              </w:rPr>
            </w:pPr>
            <w:r>
              <w:rPr>
                <w:rFonts w:hint="eastAsia"/>
                <w:sz w:val="22"/>
                <w:szCs w:val="24"/>
              </w:rPr>
              <w:t>课</w:t>
            </w:r>
          </w:p>
          <w:p>
            <w:pPr>
              <w:adjustRightInd w:val="0"/>
              <w:snapToGrid w:val="0"/>
              <w:spacing w:line="240" w:lineRule="atLeast"/>
              <w:jc w:val="center"/>
              <w:rPr>
                <w:rFonts w:hint="eastAsia"/>
                <w:sz w:val="22"/>
                <w:szCs w:val="24"/>
              </w:rPr>
            </w:pPr>
            <w:r>
              <w:rPr>
                <w:rFonts w:hint="eastAsia"/>
                <w:sz w:val="22"/>
                <w:szCs w:val="24"/>
              </w:rPr>
              <w:t>程</w:t>
            </w: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体育产业与经营</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8" w:type="dxa"/>
            <w:noWrap w:val="0"/>
            <w:vAlign w:val="center"/>
          </w:tcPr>
          <w:p>
            <w:pPr>
              <w:adjustRightInd w:val="0"/>
              <w:snapToGrid w:val="0"/>
              <w:spacing w:line="240" w:lineRule="atLeast"/>
              <w:jc w:val="center"/>
              <w:rPr>
                <w:rFonts w:hint="eastAsia"/>
                <w:sz w:val="22"/>
                <w:szCs w:val="24"/>
              </w:rPr>
            </w:pPr>
            <w:r>
              <w:rPr>
                <w:rFonts w:hint="eastAsia"/>
                <w:sz w:val="22"/>
                <w:szCs w:val="24"/>
              </w:rPr>
              <w:t>3</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体育管理学</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社会体育指导员</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艺术</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1</w:t>
            </w:r>
          </w:p>
        </w:tc>
        <w:tc>
          <w:tcPr>
            <w:tcW w:w="878"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0" w:hRule="atLeast"/>
        </w:trPr>
        <w:tc>
          <w:tcPr>
            <w:tcW w:w="588" w:type="dxa"/>
            <w:vMerge w:val="continue"/>
            <w:noWrap w:val="0"/>
            <w:vAlign w:val="center"/>
          </w:tcPr>
          <w:p>
            <w:pPr>
              <w:adjustRightInd w:val="0"/>
              <w:snapToGrid w:val="0"/>
              <w:spacing w:line="240" w:lineRule="atLeast"/>
              <w:jc w:val="center"/>
              <w:rPr>
                <w:rFonts w:hint="eastAsia"/>
                <w:sz w:val="22"/>
                <w:szCs w:val="24"/>
              </w:rPr>
            </w:pPr>
          </w:p>
        </w:tc>
        <w:tc>
          <w:tcPr>
            <w:tcW w:w="1862" w:type="dxa"/>
            <w:noWrap w:val="0"/>
            <w:vAlign w:val="center"/>
          </w:tcPr>
          <w:p>
            <w:pPr>
              <w:adjustRightInd w:val="0"/>
              <w:snapToGrid w:val="0"/>
              <w:spacing w:line="240" w:lineRule="atLeast"/>
              <w:rPr>
                <w:rFonts w:hint="eastAsia"/>
                <w:sz w:val="22"/>
                <w:szCs w:val="24"/>
              </w:rPr>
            </w:pPr>
            <w:r>
              <w:rPr>
                <w:rFonts w:hint="eastAsia"/>
                <w:sz w:val="22"/>
                <w:szCs w:val="24"/>
              </w:rPr>
              <w:t>创新创业指导</w:t>
            </w:r>
          </w:p>
        </w:tc>
        <w:tc>
          <w:tcPr>
            <w:tcW w:w="871"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gridSpan w:val="2"/>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2" w:type="dxa"/>
            <w:noWrap w:val="0"/>
            <w:vAlign w:val="center"/>
          </w:tcPr>
          <w:p>
            <w:pPr>
              <w:adjustRightInd w:val="0"/>
              <w:snapToGrid w:val="0"/>
              <w:spacing w:line="240" w:lineRule="atLeast"/>
              <w:jc w:val="center"/>
              <w:rPr>
                <w:rFonts w:hint="eastAsia"/>
                <w:sz w:val="22"/>
                <w:szCs w:val="24"/>
              </w:rPr>
            </w:pPr>
          </w:p>
        </w:tc>
        <w:tc>
          <w:tcPr>
            <w:tcW w:w="878" w:type="dxa"/>
            <w:noWrap w:val="0"/>
            <w:vAlign w:val="center"/>
          </w:tcPr>
          <w:p>
            <w:pPr>
              <w:adjustRightInd w:val="0"/>
              <w:snapToGrid w:val="0"/>
              <w:spacing w:line="240" w:lineRule="atLeast"/>
              <w:jc w:val="center"/>
              <w:rPr>
                <w:rFonts w:hint="eastAsia"/>
                <w:sz w:val="22"/>
                <w:szCs w:val="24"/>
              </w:rPr>
            </w:pPr>
            <w:r>
              <w:rPr>
                <w:rFonts w:hint="eastAsia"/>
                <w:sz w:val="22"/>
                <w:szCs w:val="24"/>
              </w:rPr>
              <w:t>2</w:t>
            </w:r>
          </w:p>
        </w:tc>
        <w:tc>
          <w:tcPr>
            <w:tcW w:w="872" w:type="dxa"/>
            <w:noWrap w:val="0"/>
            <w:vAlign w:val="center"/>
          </w:tcPr>
          <w:p>
            <w:pPr>
              <w:adjustRightInd w:val="0"/>
              <w:snapToGrid w:val="0"/>
              <w:spacing w:line="240" w:lineRule="atLeast"/>
              <w:jc w:val="center"/>
              <w:rPr>
                <w:rFonts w:hint="eastAsia"/>
                <w:sz w:val="22"/>
                <w:szCs w:val="24"/>
              </w:rPr>
            </w:pPr>
            <w:r>
              <w:rPr>
                <w:rFonts w:hint="eastAsia"/>
                <w:sz w:val="22"/>
                <w:szCs w:val="24"/>
              </w:rPr>
              <w:t>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2450"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专业实践</w:t>
            </w:r>
          </w:p>
        </w:tc>
        <w:tc>
          <w:tcPr>
            <w:tcW w:w="871"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gridSpan w:val="2"/>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2" w:type="dxa"/>
            <w:noWrap w:val="0"/>
            <w:vAlign w:val="center"/>
          </w:tcPr>
          <w:p>
            <w:pPr>
              <w:adjustRightInd w:val="0"/>
              <w:snapToGrid w:val="0"/>
              <w:spacing w:line="280" w:lineRule="atLeast"/>
              <w:jc w:val="center"/>
              <w:rPr>
                <w:rFonts w:hint="eastAsia"/>
                <w:sz w:val="22"/>
                <w:szCs w:val="24"/>
              </w:rPr>
            </w:pP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7周</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175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2450"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周课时</w:t>
            </w:r>
          </w:p>
        </w:tc>
        <w:tc>
          <w:tcPr>
            <w:tcW w:w="871" w:type="dxa"/>
            <w:noWrap w:val="0"/>
            <w:vAlign w:val="center"/>
          </w:tcPr>
          <w:p>
            <w:pPr>
              <w:adjustRightInd w:val="0"/>
              <w:snapToGrid w:val="0"/>
              <w:spacing w:line="280" w:lineRule="atLeast"/>
              <w:jc w:val="center"/>
              <w:rPr>
                <w:rFonts w:hint="eastAsia"/>
                <w:sz w:val="22"/>
                <w:szCs w:val="24"/>
              </w:rPr>
            </w:pPr>
            <w:r>
              <w:rPr>
                <w:rFonts w:hint="eastAsia"/>
                <w:sz w:val="22"/>
                <w:szCs w:val="24"/>
              </w:rPr>
              <w:t>37</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38</w:t>
            </w:r>
          </w:p>
        </w:tc>
        <w:tc>
          <w:tcPr>
            <w:tcW w:w="872"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37</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38~39</w:t>
            </w:r>
          </w:p>
        </w:tc>
        <w:tc>
          <w:tcPr>
            <w:tcW w:w="872" w:type="dxa"/>
            <w:noWrap w:val="0"/>
            <w:vAlign w:val="center"/>
          </w:tcPr>
          <w:p>
            <w:pPr>
              <w:adjustRightInd w:val="0"/>
              <w:snapToGrid w:val="0"/>
              <w:spacing w:line="280" w:lineRule="atLeast"/>
              <w:jc w:val="center"/>
              <w:rPr>
                <w:rFonts w:hint="eastAsia"/>
                <w:sz w:val="22"/>
                <w:szCs w:val="24"/>
              </w:rPr>
            </w:pPr>
            <w:r>
              <w:rPr>
                <w:rFonts w:hint="eastAsia"/>
                <w:sz w:val="22"/>
                <w:szCs w:val="24"/>
              </w:rPr>
              <w:t>34~39</w:t>
            </w:r>
          </w:p>
        </w:tc>
        <w:tc>
          <w:tcPr>
            <w:tcW w:w="878" w:type="dxa"/>
            <w:noWrap w:val="0"/>
            <w:vAlign w:val="center"/>
          </w:tcPr>
          <w:p>
            <w:pPr>
              <w:adjustRightInd w:val="0"/>
              <w:snapToGrid w:val="0"/>
              <w:spacing w:line="280" w:lineRule="atLeast"/>
              <w:jc w:val="center"/>
              <w:rPr>
                <w:rFonts w:hint="eastAsia"/>
                <w:sz w:val="22"/>
                <w:szCs w:val="24"/>
              </w:rPr>
            </w:pPr>
            <w:r>
              <w:rPr>
                <w:rFonts w:hint="eastAsia"/>
                <w:sz w:val="22"/>
                <w:szCs w:val="24"/>
              </w:rPr>
              <w:t>29~34</w:t>
            </w:r>
          </w:p>
        </w:tc>
        <w:tc>
          <w:tcPr>
            <w:tcW w:w="872" w:type="dxa"/>
            <w:noWrap w:val="0"/>
            <w:vAlign w:val="center"/>
          </w:tcPr>
          <w:p>
            <w:pPr>
              <w:adjustRightInd w:val="0"/>
              <w:snapToGrid w:val="0"/>
              <w:spacing w:line="280" w:lineRule="atLeast"/>
              <w:jc w:val="center"/>
              <w:rPr>
                <w:rFonts w:hint="eastAsia"/>
                <w:sz w:val="22"/>
                <w:szCs w:val="24"/>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Pr>
        <w:tc>
          <w:tcPr>
            <w:tcW w:w="2450" w:type="dxa"/>
            <w:gridSpan w:val="2"/>
            <w:noWrap w:val="0"/>
            <w:vAlign w:val="center"/>
          </w:tcPr>
          <w:p>
            <w:pPr>
              <w:adjustRightInd w:val="0"/>
              <w:snapToGrid w:val="0"/>
              <w:spacing w:line="280" w:lineRule="atLeast"/>
              <w:jc w:val="center"/>
              <w:rPr>
                <w:rFonts w:hint="eastAsia"/>
                <w:sz w:val="22"/>
                <w:szCs w:val="24"/>
              </w:rPr>
            </w:pPr>
            <w:r>
              <w:rPr>
                <w:rFonts w:hint="eastAsia"/>
                <w:sz w:val="22"/>
                <w:szCs w:val="24"/>
              </w:rPr>
              <w:t>三年总学时</w:t>
            </w:r>
          </w:p>
        </w:tc>
        <w:tc>
          <w:tcPr>
            <w:tcW w:w="6109" w:type="dxa"/>
            <w:gridSpan w:val="8"/>
            <w:noWrap w:val="0"/>
            <w:vAlign w:val="center"/>
          </w:tcPr>
          <w:p>
            <w:pPr>
              <w:adjustRightInd w:val="0"/>
              <w:snapToGrid w:val="0"/>
              <w:spacing w:line="280" w:lineRule="atLeast"/>
              <w:jc w:val="center"/>
              <w:rPr>
                <w:rFonts w:hint="eastAsia"/>
                <w:sz w:val="22"/>
                <w:szCs w:val="24"/>
              </w:rPr>
            </w:pPr>
            <w:r>
              <w:rPr>
                <w:rFonts w:hint="eastAsia"/>
                <w:sz w:val="22"/>
                <w:szCs w:val="24"/>
              </w:rPr>
              <w:t>3</w:t>
            </w:r>
            <w:r>
              <w:rPr>
                <w:rFonts w:hint="eastAsia" w:ascii="MS Mincho" w:hAnsi="MS Mincho" w:eastAsia="MS Mincho" w:cs="MS Mincho"/>
                <w:sz w:val="22"/>
                <w:szCs w:val="24"/>
              </w:rPr>
              <w:t> </w:t>
            </w:r>
            <w:r>
              <w:rPr>
                <w:rFonts w:hint="eastAsia"/>
                <w:sz w:val="22"/>
                <w:szCs w:val="24"/>
              </w:rPr>
              <w:t>559~3</w:t>
            </w:r>
            <w:r>
              <w:rPr>
                <w:rFonts w:hint="eastAsia" w:ascii="MS Mincho" w:hAnsi="MS Mincho" w:eastAsia="MS Mincho" w:cs="MS Mincho"/>
                <w:sz w:val="22"/>
                <w:szCs w:val="24"/>
              </w:rPr>
              <w:t> </w:t>
            </w:r>
            <w:r>
              <w:rPr>
                <w:rFonts w:hint="eastAsia"/>
                <w:sz w:val="22"/>
                <w:szCs w:val="24"/>
              </w:rPr>
              <w:t>707</w:t>
            </w:r>
          </w:p>
        </w:tc>
      </w:tr>
    </w:tbl>
    <w:p>
      <w:pPr>
        <w:adjustRightInd w:val="0"/>
        <w:snapToGrid w:val="0"/>
        <w:spacing w:before="155" w:line="310" w:lineRule="atLeast"/>
        <w:ind w:firstLine="425"/>
        <w:rPr>
          <w:rFonts w:hint="eastAsia"/>
          <w:sz w:val="28"/>
          <w:szCs w:val="24"/>
        </w:rPr>
      </w:pPr>
      <w:r>
        <w:rPr>
          <w:rFonts w:hint="eastAsia"/>
          <w:sz w:val="28"/>
          <w:szCs w:val="24"/>
        </w:rPr>
        <w:t>注：</w:t>
      </w:r>
      <w:r>
        <w:rPr>
          <w:sz w:val="28"/>
          <w:szCs w:val="24"/>
        </w:rPr>
        <w:t xml:space="preserve">1. </w:t>
      </w:r>
      <w:r>
        <w:rPr>
          <w:rFonts w:hint="eastAsia"/>
          <w:sz w:val="28"/>
          <w:szCs w:val="24"/>
        </w:rPr>
        <w:t>专项训练可在田径、游泳、篮球、排球、足球、羽毛球、乒乓球、摔跤、柔道、击剑、举重等项目中安排一项。</w:t>
      </w:r>
    </w:p>
    <w:p>
      <w:pPr>
        <w:adjustRightInd w:val="0"/>
        <w:snapToGrid w:val="0"/>
        <w:spacing w:line="310" w:lineRule="atLeast"/>
        <w:ind w:firstLine="425"/>
        <w:rPr>
          <w:rFonts w:hint="eastAsia"/>
          <w:sz w:val="28"/>
          <w:szCs w:val="24"/>
        </w:rPr>
      </w:pPr>
      <w:r>
        <w:rPr>
          <w:sz w:val="28"/>
          <w:szCs w:val="24"/>
        </w:rPr>
        <w:t xml:space="preserve">2. </w:t>
      </w:r>
      <w:r>
        <w:rPr>
          <w:rFonts w:hint="eastAsia"/>
          <w:sz w:val="28"/>
          <w:szCs w:val="24"/>
        </w:rPr>
        <w:t>主干课程为必修课，学校应在三年中安排。</w:t>
      </w:r>
    </w:p>
    <w:p>
      <w:pPr>
        <w:adjustRightInd w:val="0"/>
        <w:snapToGrid w:val="0"/>
        <w:spacing w:line="310" w:lineRule="atLeast"/>
        <w:ind w:firstLine="425"/>
        <w:rPr>
          <w:rFonts w:hint="eastAsia"/>
          <w:sz w:val="28"/>
          <w:szCs w:val="24"/>
        </w:rPr>
      </w:pPr>
      <w:r>
        <w:rPr>
          <w:sz w:val="28"/>
          <w:szCs w:val="24"/>
        </w:rPr>
        <w:t xml:space="preserve">3. </w:t>
      </w:r>
      <w:r>
        <w:rPr>
          <w:rFonts w:hint="eastAsia"/>
          <w:sz w:val="28"/>
          <w:szCs w:val="24"/>
        </w:rPr>
        <w:t>选修课可根据学校情况进行调整，应选两门以上。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水柱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F2539"/>
    <w:rsid w:val="253E0661"/>
    <w:rsid w:val="2EDF2539"/>
    <w:rsid w:val="318375AB"/>
    <w:rsid w:val="4DEB397B"/>
    <w:rsid w:val="5ABA61BF"/>
    <w:rsid w:val="65391CB6"/>
    <w:rsid w:val="7F052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7">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8">
    <w:name w:val="Normal (Web)"/>
    <w:basedOn w:val="1"/>
    <w:qFormat/>
    <w:uiPriority w:val="0"/>
    <w:pPr>
      <w:spacing w:before="0" w:beforeAutospacing="1" w:after="0" w:afterAutospacing="1" w:line="15" w:lineRule="atLeast"/>
      <w:ind w:left="0" w:right="0"/>
      <w:jc w:val="left"/>
    </w:pPr>
    <w:rPr>
      <w:rFonts w:ascii="瀹嬩綋" w:hAnsi="瀹嬩綋" w:eastAsia="瀹嬩綋" w:cs="瀹嬩綋"/>
      <w:color w:val="333333"/>
      <w:kern w:val="0"/>
      <w:sz w:val="18"/>
      <w:szCs w:val="18"/>
      <w:lang w:val="en-US" w:eastAsia="zh-CN" w:bidi="ar"/>
    </w:rPr>
  </w:style>
  <w:style w:type="character" w:styleId="11">
    <w:name w:val="Strong"/>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uiPriority w:val="0"/>
  </w:style>
  <w:style w:type="character" w:styleId="15">
    <w:name w:val="HTML Variable"/>
    <w:basedOn w:val="10"/>
    <w:qFormat/>
    <w:uiPriority w:val="0"/>
  </w:style>
  <w:style w:type="character" w:styleId="16">
    <w:name w:val="Hyperlink"/>
    <w:basedOn w:val="10"/>
    <w:qFormat/>
    <w:uiPriority w:val="0"/>
    <w:rPr>
      <w:color w:val="333333"/>
      <w:u w:val="none"/>
    </w:rPr>
  </w:style>
  <w:style w:type="character" w:styleId="17">
    <w:name w:val="HTML Code"/>
    <w:basedOn w:val="10"/>
    <w:uiPriority w:val="0"/>
    <w:rPr>
      <w:rFonts w:ascii="Courier New" w:hAnsi="Courier New"/>
      <w:sz w:val="20"/>
    </w:rPr>
  </w:style>
  <w:style w:type="character" w:styleId="18">
    <w:name w:val="HTML Cite"/>
    <w:basedOn w:val="10"/>
    <w:qFormat/>
    <w:uiPriority w:val="0"/>
  </w:style>
  <w:style w:type="paragraph" w:customStyle="1" w:styleId="19">
    <w:name w:val="标题1"/>
    <w:basedOn w:val="1"/>
    <w:qFormat/>
    <w:uiPriority w:val="0"/>
    <w:pPr>
      <w:adjustRightInd w:val="0"/>
      <w:snapToGrid w:val="0"/>
      <w:spacing w:before="810" w:after="180" w:line="310" w:lineRule="atLeast"/>
      <w:jc w:val="center"/>
    </w:pPr>
    <w:rPr>
      <w:rFonts w:eastAsia="方正水柱简体"/>
      <w:w w:val="86"/>
      <w:sz w:val="42"/>
    </w:rPr>
  </w:style>
  <w:style w:type="paragraph" w:customStyle="1" w:styleId="20">
    <w:name w:val="标题3"/>
    <w:basedOn w:val="1"/>
    <w:qFormat/>
    <w:uiPriority w:val="0"/>
    <w:pPr>
      <w:adjustRightInd w:val="0"/>
      <w:snapToGrid w:val="0"/>
      <w:spacing w:before="280" w:after="280" w:line="310" w:lineRule="atLeast"/>
      <w:jc w:val="center"/>
    </w:pPr>
    <w:rPr>
      <w:rFonts w:ascii="Arial" w:hAnsi="Arial" w:eastAsia="黑体"/>
      <w:sz w:val="28"/>
    </w:rPr>
  </w:style>
  <w:style w:type="paragraph" w:customStyle="1" w:styleId="21">
    <w:name w:val="标题4"/>
    <w:basedOn w:val="1"/>
    <w:qFormat/>
    <w:uiPriority w:val="0"/>
    <w:pPr>
      <w:adjustRightInd w:val="0"/>
      <w:snapToGrid w:val="0"/>
      <w:spacing w:line="310" w:lineRule="atLeast"/>
      <w:ind w:firstLine="425"/>
    </w:pPr>
    <w:rPr>
      <w:rFonts w:ascii="Arial" w:hAnsi="Arial" w:eastAsia="黑体"/>
    </w:rPr>
  </w:style>
  <w:style w:type="paragraph" w:customStyle="1" w:styleId="22">
    <w:name w:val="表题"/>
    <w:basedOn w:val="20"/>
    <w:qFormat/>
    <w:uiPriority w:val="0"/>
    <w:pPr>
      <w:spacing w:before="155" w:after="40"/>
    </w:pPr>
    <w:rPr>
      <w:sz w:val="21"/>
    </w:rPr>
  </w:style>
  <w:style w:type="character" w:customStyle="1" w:styleId="23">
    <w:name w:val="item-name"/>
    <w:basedOn w:val="10"/>
    <w:uiPriority w:val="0"/>
  </w:style>
  <w:style w:type="character" w:customStyle="1" w:styleId="24">
    <w:name w:val="item-name1"/>
    <w:basedOn w:val="10"/>
    <w:uiPriority w:val="0"/>
  </w:style>
  <w:style w:type="character" w:customStyle="1" w:styleId="25">
    <w:name w:val="item-name2"/>
    <w:basedOn w:val="10"/>
    <w:uiPriority w:val="0"/>
  </w:style>
  <w:style w:type="character" w:customStyle="1" w:styleId="26">
    <w:name w:val="item-name3"/>
    <w:basedOn w:val="10"/>
    <w:uiPriority w:val="0"/>
  </w:style>
  <w:style w:type="character" w:customStyle="1" w:styleId="27">
    <w:name w:val="item-name4"/>
    <w:basedOn w:val="10"/>
    <w:qFormat/>
    <w:uiPriority w:val="0"/>
  </w:style>
  <w:style w:type="character" w:customStyle="1" w:styleId="28">
    <w:name w:val="item-name5"/>
    <w:basedOn w:val="10"/>
    <w:uiPriority w:val="0"/>
  </w:style>
  <w:style w:type="character" w:customStyle="1" w:styleId="29">
    <w:name w:val="item-name6"/>
    <w:basedOn w:val="10"/>
    <w:uiPriority w:val="0"/>
  </w:style>
  <w:style w:type="character" w:customStyle="1" w:styleId="30">
    <w:name w:val="article_dynavisitcount"/>
    <w:basedOn w:val="10"/>
    <w:uiPriority w:val="0"/>
  </w:style>
  <w:style w:type="character" w:customStyle="1" w:styleId="31">
    <w:name w:val="column-name12"/>
    <w:basedOn w:val="10"/>
    <w:uiPriority w:val="0"/>
    <w:rPr>
      <w:color w:val="856103"/>
    </w:rPr>
  </w:style>
  <w:style w:type="character" w:customStyle="1" w:styleId="32">
    <w:name w:val="column-name13"/>
    <w:basedOn w:val="10"/>
    <w:uiPriority w:val="0"/>
    <w:rPr>
      <w:color w:val="124D83"/>
    </w:rPr>
  </w:style>
  <w:style w:type="character" w:customStyle="1" w:styleId="33">
    <w:name w:val="column-name14"/>
    <w:basedOn w:val="10"/>
    <w:uiPriority w:val="0"/>
    <w:rPr>
      <w:color w:val="124D83"/>
    </w:rPr>
  </w:style>
  <w:style w:type="character" w:customStyle="1" w:styleId="34">
    <w:name w:val="column-name15"/>
    <w:basedOn w:val="10"/>
    <w:uiPriority w:val="0"/>
    <w:rPr>
      <w:color w:val="124D83"/>
    </w:rPr>
  </w:style>
  <w:style w:type="character" w:customStyle="1" w:styleId="35">
    <w:name w:val="column-name16"/>
    <w:basedOn w:val="10"/>
    <w:uiPriority w:val="0"/>
    <w:rPr>
      <w:color w:val="124D83"/>
    </w:rPr>
  </w:style>
  <w:style w:type="character" w:customStyle="1" w:styleId="36">
    <w:name w:val="column-name17"/>
    <w:basedOn w:val="10"/>
    <w:uiPriority w:val="0"/>
    <w:rPr>
      <w:color w:val="124D83"/>
    </w:rPr>
  </w:style>
  <w:style w:type="character" w:customStyle="1" w:styleId="37">
    <w:name w:val="news_title"/>
    <w:basedOn w:val="10"/>
    <w:uiPriority w:val="0"/>
  </w:style>
  <w:style w:type="character" w:customStyle="1" w:styleId="38">
    <w:name w:val="news_meta"/>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2019-03-16T06:53:00Z</dcterms:created>
  <dc:creator>潘潘</dc:creator>
  <cp:lastModifiedBy>Administrator</cp:lastModifiedBy>
  <dcterms:modified xsi:type="dcterms:W3CDTF">2021-10-27T00:36:52Z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2996AF551B7F48F4BD5078510A46E745</vt:lpwstr>
  </property>
</Properties>
</file>